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A7A4" w14:textId="21110DE4" w:rsidR="000C1FBC" w:rsidRPr="008D50AC" w:rsidRDefault="000C1FBC" w:rsidP="00711372">
      <w:pPr>
        <w:shd w:val="clear" w:color="auto" w:fill="FFFFFF" w:themeFill="background1"/>
        <w:spacing w:after="120" w:line="276" w:lineRule="auto"/>
        <w:ind w:right="91"/>
        <w:jc w:val="center"/>
        <w:rPr>
          <w:b/>
          <w:bCs/>
          <w:noProof/>
          <w:color w:val="005267"/>
          <w:sz w:val="96"/>
          <w:szCs w:val="96"/>
        </w:rPr>
      </w:pPr>
      <w:r w:rsidRPr="008D50AC">
        <w:rPr>
          <w:b/>
          <w:bCs/>
          <w:noProof/>
          <w:color w:val="005267"/>
          <w:sz w:val="96"/>
          <w:szCs w:val="96"/>
        </w:rPr>
        <w:t>Tour dell’Andalusia</w:t>
      </w:r>
    </w:p>
    <w:p w14:paraId="4F1931AB" w14:textId="77777777" w:rsidR="000C1FBC" w:rsidRPr="008D50AC" w:rsidRDefault="000C1FBC" w:rsidP="00711372">
      <w:pPr>
        <w:shd w:val="clear" w:color="auto" w:fill="BFBFBF" w:themeFill="background1" w:themeFillShade="BF"/>
        <w:spacing w:line="276" w:lineRule="auto"/>
        <w:ind w:right="91"/>
        <w:jc w:val="center"/>
        <w:rPr>
          <w:b/>
          <w:bCs/>
          <w:noProof/>
          <w:color w:val="005267"/>
          <w:sz w:val="48"/>
          <w:szCs w:val="48"/>
        </w:rPr>
      </w:pPr>
      <w:r w:rsidRPr="008D50AC">
        <w:rPr>
          <w:b/>
          <w:bCs/>
          <w:noProof/>
          <w:color w:val="005267"/>
          <w:sz w:val="48"/>
          <w:szCs w:val="48"/>
        </w:rPr>
        <w:t>27 Aprile – 04 Maggio 2024</w:t>
      </w:r>
      <w:bookmarkStart w:id="0" w:name="_Hlk70934028"/>
    </w:p>
    <w:p w14:paraId="149346F7" w14:textId="77777777" w:rsidR="000C1FBC" w:rsidRPr="00711372" w:rsidRDefault="000C1FBC" w:rsidP="00711372">
      <w:pPr>
        <w:pStyle w:val="NormaleWeb"/>
        <w:spacing w:before="0" w:line="276" w:lineRule="auto"/>
        <w:rPr>
          <w:rFonts w:ascii="Century Gothic" w:hAnsi="Century Gothic" w:cs="Arial"/>
          <w:i/>
          <w:iCs/>
          <w:sz w:val="21"/>
          <w:szCs w:val="21"/>
          <w:bdr w:val="none" w:sz="0" w:space="0" w:color="auto" w:frame="1"/>
        </w:rPr>
      </w:pPr>
      <w:r w:rsidRPr="00711372">
        <w:rPr>
          <w:rFonts w:ascii="Century Gothic" w:hAnsi="Century Gothic" w:cs="Arial"/>
          <w:i/>
          <w:iCs/>
          <w:noProof/>
          <w:sz w:val="21"/>
          <w:szCs w:val="21"/>
          <w:bdr w:val="none" w:sz="0" w:space="0" w:color="auto" w:frame="1"/>
        </w:rPr>
        <w:drawing>
          <wp:inline distT="0" distB="0" distL="0" distR="0" wp14:anchorId="36596AEB" wp14:editId="56CA265C">
            <wp:extent cx="6572250" cy="3642986"/>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8">
                      <a:extLst>
                        <a:ext uri="{28A0092B-C50C-407E-A947-70E740481C1C}">
                          <a14:useLocalDpi xmlns:a14="http://schemas.microsoft.com/office/drawing/2010/main" val="0"/>
                        </a:ext>
                      </a:extLst>
                    </a:blip>
                    <a:stretch>
                      <a:fillRect/>
                    </a:stretch>
                  </pic:blipFill>
                  <pic:spPr>
                    <a:xfrm>
                      <a:off x="0" y="0"/>
                      <a:ext cx="6582797" cy="3648832"/>
                    </a:xfrm>
                    <a:prstGeom prst="rect">
                      <a:avLst/>
                    </a:prstGeom>
                  </pic:spPr>
                </pic:pic>
              </a:graphicData>
            </a:graphic>
          </wp:inline>
        </w:drawing>
      </w:r>
    </w:p>
    <w:p w14:paraId="71161D09" w14:textId="77777777" w:rsidR="000C1FBC" w:rsidRPr="00711372" w:rsidRDefault="000C1FBC" w:rsidP="00711372">
      <w:pPr>
        <w:pStyle w:val="NormaleWeb"/>
        <w:spacing w:before="0" w:line="276" w:lineRule="auto"/>
        <w:rPr>
          <w:rFonts w:ascii="Century Gothic" w:hAnsi="Century Gothic" w:cs="Arial"/>
          <w:i/>
          <w:iCs/>
          <w:sz w:val="21"/>
          <w:szCs w:val="21"/>
          <w:bdr w:val="none" w:sz="0" w:space="0" w:color="auto" w:frame="1"/>
        </w:rPr>
      </w:pPr>
    </w:p>
    <w:p w14:paraId="7864E205" w14:textId="77777777" w:rsidR="000C1FBC" w:rsidRPr="00711372" w:rsidRDefault="000C1FBC" w:rsidP="00711372">
      <w:pPr>
        <w:pStyle w:val="NormaleWeb"/>
        <w:spacing w:before="0" w:line="360" w:lineRule="auto"/>
        <w:rPr>
          <w:rFonts w:ascii="Century Gothic" w:hAnsi="Century Gothic" w:cs="Arial"/>
          <w:i/>
          <w:iCs/>
          <w:sz w:val="22"/>
          <w:szCs w:val="22"/>
          <w:bdr w:val="none" w:sz="0" w:space="0" w:color="auto" w:frame="1"/>
        </w:rPr>
      </w:pPr>
      <w:r w:rsidRPr="00711372">
        <w:rPr>
          <w:rFonts w:ascii="Century Gothic" w:hAnsi="Century Gothic" w:cs="Arial"/>
          <w:i/>
          <w:iCs/>
          <w:sz w:val="22"/>
          <w:szCs w:val="22"/>
          <w:bdr w:val="none" w:sz="0" w:space="0" w:color="auto" w:frame="1"/>
        </w:rPr>
        <w:t>Partiremo alla scoperta dell'</w:t>
      </w:r>
      <w:r w:rsidRPr="00711372">
        <w:rPr>
          <w:rFonts w:ascii="Century Gothic" w:hAnsi="Century Gothic" w:cs="Arial"/>
          <w:b/>
          <w:bCs/>
          <w:i/>
          <w:iCs/>
          <w:sz w:val="22"/>
          <w:szCs w:val="22"/>
          <w:bdr w:val="none" w:sz="0" w:space="0" w:color="auto" w:frame="1"/>
        </w:rPr>
        <w:t>Andalusia</w:t>
      </w:r>
      <w:r w:rsidRPr="00711372">
        <w:rPr>
          <w:rFonts w:ascii="Century Gothic" w:hAnsi="Century Gothic" w:cs="Arial"/>
          <w:i/>
          <w:iCs/>
          <w:sz w:val="22"/>
          <w:szCs w:val="22"/>
          <w:bdr w:val="none" w:sz="0" w:space="0" w:color="auto" w:frame="1"/>
        </w:rPr>
        <w:t>, terra di flamenco e corride, di buon cibo e rimembranze arabe. Visiteremo ad uno ad uno i suoi gioielli: </w:t>
      </w:r>
      <w:r w:rsidRPr="00711372">
        <w:rPr>
          <w:rFonts w:ascii="Century Gothic" w:hAnsi="Century Gothic" w:cs="Arial"/>
          <w:b/>
          <w:bCs/>
          <w:i/>
          <w:iCs/>
          <w:sz w:val="22"/>
          <w:szCs w:val="22"/>
          <w:bdr w:val="none" w:sz="0" w:space="0" w:color="auto" w:frame="1"/>
        </w:rPr>
        <w:t>Siviglia</w:t>
      </w:r>
      <w:r w:rsidRPr="00711372">
        <w:rPr>
          <w:rFonts w:ascii="Century Gothic" w:hAnsi="Century Gothic" w:cs="Arial"/>
          <w:i/>
          <w:iCs/>
          <w:sz w:val="22"/>
          <w:szCs w:val="22"/>
          <w:bdr w:val="none" w:sz="0" w:space="0" w:color="auto" w:frame="1"/>
        </w:rPr>
        <w:t xml:space="preserve">, nota per lo straordinario complesso moresco dell’Alcazar;  </w:t>
      </w:r>
      <w:r w:rsidRPr="00711372">
        <w:rPr>
          <w:rFonts w:ascii="Century Gothic" w:hAnsi="Century Gothic" w:cs="Arial"/>
          <w:b/>
          <w:bCs/>
          <w:i/>
          <w:iCs/>
          <w:sz w:val="22"/>
          <w:szCs w:val="22"/>
          <w:bdr w:val="none" w:sz="0" w:space="0" w:color="auto" w:frame="1"/>
        </w:rPr>
        <w:t>Cordoba</w:t>
      </w:r>
      <w:r w:rsidRPr="00711372">
        <w:rPr>
          <w:rFonts w:ascii="Century Gothic" w:hAnsi="Century Gothic" w:cs="Arial"/>
          <w:i/>
          <w:iCs/>
          <w:sz w:val="22"/>
          <w:szCs w:val="22"/>
          <w:bdr w:val="none" w:sz="0" w:space="0" w:color="auto" w:frame="1"/>
        </w:rPr>
        <w:t>, adagiata sul fiume Guadalquivir, con l'imponente Mezquita risalente a prima dell'anno Mille; </w:t>
      </w:r>
      <w:r w:rsidRPr="00711372">
        <w:rPr>
          <w:rFonts w:ascii="Century Gothic" w:hAnsi="Century Gothic" w:cs="Arial"/>
          <w:b/>
          <w:bCs/>
          <w:i/>
          <w:iCs/>
          <w:sz w:val="22"/>
          <w:szCs w:val="22"/>
          <w:bdr w:val="none" w:sz="0" w:space="0" w:color="auto" w:frame="1"/>
        </w:rPr>
        <w:t>Granada</w:t>
      </w:r>
      <w:r w:rsidRPr="00711372">
        <w:rPr>
          <w:rFonts w:ascii="Century Gothic" w:hAnsi="Century Gothic" w:cs="Arial"/>
          <w:i/>
          <w:iCs/>
          <w:sz w:val="22"/>
          <w:szCs w:val="22"/>
          <w:bdr w:val="none" w:sz="0" w:space="0" w:color="auto" w:frame="1"/>
        </w:rPr>
        <w:t>, città universitaria e dove entrare nelle Mille e una Notte con il complesso medievale arabo dell'Alhambra; </w:t>
      </w:r>
      <w:r w:rsidRPr="00711372">
        <w:rPr>
          <w:rFonts w:ascii="Century Gothic" w:hAnsi="Century Gothic" w:cs="Arial"/>
          <w:b/>
          <w:bCs/>
          <w:i/>
          <w:iCs/>
          <w:sz w:val="22"/>
          <w:szCs w:val="22"/>
          <w:bdr w:val="none" w:sz="0" w:space="0" w:color="auto" w:frame="1"/>
        </w:rPr>
        <w:t>Malaga</w:t>
      </w:r>
      <w:r w:rsidRPr="00711372">
        <w:rPr>
          <w:rFonts w:ascii="Century Gothic" w:hAnsi="Century Gothic" w:cs="Arial"/>
          <w:i/>
          <w:iCs/>
          <w:sz w:val="22"/>
          <w:szCs w:val="22"/>
          <w:bdr w:val="none" w:sz="0" w:space="0" w:color="auto" w:frame="1"/>
        </w:rPr>
        <w:t>, capitale della Costa del Sol e terra natia di Pablo Picasso; </w:t>
      </w:r>
      <w:r w:rsidRPr="00711372">
        <w:rPr>
          <w:rFonts w:ascii="Century Gothic" w:hAnsi="Century Gothic" w:cs="Arial"/>
          <w:b/>
          <w:bCs/>
          <w:i/>
          <w:iCs/>
          <w:sz w:val="22"/>
          <w:szCs w:val="22"/>
          <w:bdr w:val="none" w:sz="0" w:space="0" w:color="auto" w:frame="1"/>
        </w:rPr>
        <w:t>Ronda</w:t>
      </w:r>
      <w:r w:rsidRPr="00711372">
        <w:rPr>
          <w:rFonts w:ascii="Century Gothic" w:hAnsi="Century Gothic" w:cs="Arial"/>
          <w:i/>
          <w:iCs/>
          <w:sz w:val="22"/>
          <w:szCs w:val="22"/>
          <w:bdr w:val="none" w:sz="0" w:space="0" w:color="auto" w:frame="1"/>
        </w:rPr>
        <w:t xml:space="preserve">, costruita a picco su una gola profonda, nota per la leggendaria Plaza de Toros; raggiungeremo poi </w:t>
      </w:r>
      <w:r w:rsidRPr="00711372">
        <w:rPr>
          <w:rFonts w:ascii="Century Gothic" w:hAnsi="Century Gothic" w:cs="Arial"/>
          <w:b/>
          <w:bCs/>
          <w:i/>
          <w:iCs/>
          <w:sz w:val="22"/>
          <w:szCs w:val="22"/>
          <w:bdr w:val="none" w:sz="0" w:space="0" w:color="auto" w:frame="1"/>
        </w:rPr>
        <w:t>Jerez de la Frontera</w:t>
      </w:r>
      <w:r w:rsidRPr="00711372">
        <w:rPr>
          <w:rFonts w:ascii="Century Gothic" w:hAnsi="Century Gothic" w:cs="Arial"/>
          <w:i/>
          <w:iCs/>
          <w:sz w:val="22"/>
          <w:szCs w:val="22"/>
          <w:bdr w:val="none" w:sz="0" w:space="0" w:color="auto" w:frame="1"/>
        </w:rPr>
        <w:t xml:space="preserve">, per degustare il famoso sherry! </w:t>
      </w:r>
    </w:p>
    <w:p w14:paraId="28735E35" w14:textId="77777777" w:rsidR="0019614A" w:rsidRDefault="0019614A"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bookmarkStart w:id="1" w:name="_Hlk131867787"/>
      <w:bookmarkEnd w:id="0"/>
    </w:p>
    <w:p w14:paraId="7AB70DDA" w14:textId="242E8A10"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sidRPr="00711372">
        <w:rPr>
          <w:rFonts w:ascii="Century Gothic" w:hAnsi="Century Gothic"/>
          <w:b/>
          <w:bCs/>
          <w:color w:val="005267"/>
          <w:sz w:val="21"/>
          <w:szCs w:val="21"/>
          <w:bdr w:val="none" w:sz="0" w:space="0" w:color="auto" w:frame="1"/>
        </w:rPr>
        <w:lastRenderedPageBreak/>
        <w:t>PROGRAMMA:</w:t>
      </w:r>
    </w:p>
    <w:p w14:paraId="5B9B54D0" w14:textId="77777777"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p>
    <w:p w14:paraId="711189B3" w14:textId="77777777"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sidRPr="00711372">
        <w:rPr>
          <w:rFonts w:ascii="Century Gothic" w:hAnsi="Century Gothic"/>
          <w:b/>
          <w:bCs/>
          <w:color w:val="005267"/>
          <w:sz w:val="21"/>
          <w:szCs w:val="21"/>
          <w:bdr w:val="none" w:sz="0" w:space="0" w:color="auto" w:frame="1"/>
        </w:rPr>
        <w:t>27 APRILE </w:t>
      </w:r>
      <w:bookmarkEnd w:id="1"/>
      <w:r w:rsidRPr="00711372">
        <w:rPr>
          <w:rFonts w:ascii="Century Gothic" w:hAnsi="Century Gothic"/>
          <w:b/>
          <w:bCs/>
          <w:color w:val="005267"/>
          <w:sz w:val="21"/>
          <w:szCs w:val="21"/>
          <w:bdr w:val="none" w:sz="0" w:space="0" w:color="auto" w:frame="1"/>
        </w:rPr>
        <w:t>– sabato </w:t>
      </w:r>
    </w:p>
    <w:p w14:paraId="48DC8593" w14:textId="77777777"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sidRPr="00711372">
        <w:rPr>
          <w:rFonts w:ascii="Century Gothic" w:hAnsi="Century Gothic"/>
          <w:b/>
          <w:bCs/>
          <w:color w:val="005267"/>
          <w:sz w:val="21"/>
          <w:szCs w:val="21"/>
          <w:bdr w:val="none" w:sz="0" w:space="0" w:color="auto" w:frame="1"/>
        </w:rPr>
        <w:t xml:space="preserve">BOLOGNA/MADRID – MALAGA </w:t>
      </w:r>
    </w:p>
    <w:p w14:paraId="39624964" w14:textId="157F1765" w:rsidR="000C1FBC" w:rsidRPr="00711372" w:rsidRDefault="000C1FBC" w:rsidP="00711372">
      <w:pPr>
        <w:spacing w:line="276" w:lineRule="auto"/>
        <w:rPr>
          <w:sz w:val="21"/>
        </w:rPr>
      </w:pPr>
      <w:r w:rsidRPr="00711372">
        <w:rPr>
          <w:sz w:val="21"/>
        </w:rPr>
        <w:t xml:space="preserve">In mattinata ritrovo dei partecipanti all’aeroporto di Bologna. Disbrigo delle operazioni d’imbarco e partenza dall’Italia per </w:t>
      </w:r>
      <w:r w:rsidRPr="00711372">
        <w:rPr>
          <w:b/>
          <w:bCs/>
          <w:sz w:val="21"/>
        </w:rPr>
        <w:t>Malaga</w:t>
      </w:r>
      <w:r w:rsidRPr="00711372">
        <w:rPr>
          <w:sz w:val="21"/>
        </w:rPr>
        <w:t xml:space="preserve"> con volo di linea Iberia via Madrid. All’arrivo incontro con l’accompagnatore e visita panoramica della città con i suoi luoghi più caratteristici: la Plaza de la Merced, dove è nato Picasso, Larios, Pasaje de Chinitas, la rocca di Gibralfaro e il Parco. Al termine trasferimento in hotel, sistemazione nelle camere riservate. Cena e Pernottamento.</w:t>
      </w:r>
    </w:p>
    <w:p w14:paraId="6B202606" w14:textId="77777777" w:rsidR="000C1FBC" w:rsidRPr="00711372" w:rsidRDefault="000C1FBC" w:rsidP="00711372">
      <w:pPr>
        <w:spacing w:after="120" w:line="276" w:lineRule="auto"/>
        <w:rPr>
          <w:b/>
          <w:bCs/>
          <w:color w:val="005267"/>
          <w:sz w:val="21"/>
          <w:bdr w:val="none" w:sz="0" w:space="0" w:color="auto" w:frame="1"/>
        </w:rPr>
      </w:pPr>
    </w:p>
    <w:p w14:paraId="1EB37965" w14:textId="0F2A76E7" w:rsidR="000C1FBC" w:rsidRPr="00711372" w:rsidRDefault="000C1FBC" w:rsidP="00711372">
      <w:pPr>
        <w:spacing w:after="120" w:line="276" w:lineRule="auto"/>
        <w:rPr>
          <w:b/>
          <w:bCs/>
          <w:color w:val="005267"/>
          <w:sz w:val="21"/>
          <w:bdr w:val="none" w:sz="0" w:space="0" w:color="auto" w:frame="1"/>
        </w:rPr>
      </w:pPr>
      <w:r w:rsidRPr="00711372">
        <w:rPr>
          <w:b/>
          <w:bCs/>
          <w:color w:val="005267"/>
          <w:sz w:val="21"/>
          <w:bdr w:val="none" w:sz="0" w:space="0" w:color="auto" w:frame="1"/>
        </w:rPr>
        <w:t>28 APRILE – domenica </w:t>
      </w:r>
    </w:p>
    <w:p w14:paraId="6644D2A8" w14:textId="77777777"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sidRPr="00711372">
        <w:rPr>
          <w:rFonts w:ascii="Century Gothic" w:hAnsi="Century Gothic"/>
          <w:b/>
          <w:bCs/>
          <w:color w:val="005267"/>
          <w:sz w:val="21"/>
          <w:szCs w:val="21"/>
          <w:bdr w:val="none" w:sz="0" w:space="0" w:color="auto" w:frame="1"/>
        </w:rPr>
        <w:t>MALAGA – RONDA – JEREZ DE LA FRONTERA</w:t>
      </w:r>
    </w:p>
    <w:p w14:paraId="567F1FCA" w14:textId="7475C7C1" w:rsidR="000C1FBC" w:rsidRPr="00711372" w:rsidRDefault="000C1FBC" w:rsidP="00711372">
      <w:pPr>
        <w:spacing w:line="276" w:lineRule="auto"/>
        <w:rPr>
          <w:color w:val="auto"/>
          <w:sz w:val="21"/>
          <w:lang w:eastAsia="en-US"/>
        </w:rPr>
      </w:pPr>
      <w:r w:rsidRPr="00711372">
        <w:rPr>
          <w:sz w:val="21"/>
        </w:rPr>
        <w:t xml:space="preserve">Trattamento di pensione completa. In mattinata trasferimento a </w:t>
      </w:r>
      <w:r w:rsidRPr="00711372">
        <w:rPr>
          <w:b/>
          <w:bCs/>
          <w:sz w:val="21"/>
        </w:rPr>
        <w:t>Ronda</w:t>
      </w:r>
      <w:r w:rsidRPr="00711372">
        <w:rPr>
          <w:sz w:val="21"/>
        </w:rPr>
        <w:t xml:space="preserve">, visita della città che è costruita sopra un promontorio roccioso dalle pareti verticali. Il Tajo, una profonda gola che raggiunge i 100 metri di profondità, ne divide il centro urbano. Visita del vecchio quartiere, dove si trova la Collegiata di Santa María, importante edificio rinascimentale che conserva all’interno un arco appartenuto alla ormai scomparsa moschea principale. Proseguimento delle visite a Plaza de Toros, meraviglioso esempio di arena in pietra, risalente al Settecento e considerata la più antica di Spagna. Pranzo in corso di visite. Partenza verso </w:t>
      </w:r>
      <w:r w:rsidRPr="00711372">
        <w:rPr>
          <w:b/>
          <w:bCs/>
          <w:sz w:val="21"/>
        </w:rPr>
        <w:t>Arcos de la Frontera</w:t>
      </w:r>
      <w:r w:rsidRPr="00711372">
        <w:rPr>
          <w:sz w:val="21"/>
        </w:rPr>
        <w:t xml:space="preserve"> con visita alle Chiese più importanti. Arrivo poi a </w:t>
      </w:r>
      <w:r w:rsidRPr="00711372">
        <w:rPr>
          <w:b/>
          <w:bCs/>
          <w:sz w:val="21"/>
        </w:rPr>
        <w:t>Jerez de la Frontera</w:t>
      </w:r>
      <w:r w:rsidRPr="00711372">
        <w:rPr>
          <w:sz w:val="21"/>
        </w:rPr>
        <w:t xml:space="preserve"> per la visita di una delle cantine produttrici di Sherry, che permetterà di conoscere in dettaglio il processo di produzione e degustazione di alcuni dei suoi famosi vini. Sistemazione in hotel per la cena e il pernottamento.</w:t>
      </w:r>
      <w:bookmarkStart w:id="2" w:name="_Hlk131867872"/>
    </w:p>
    <w:p w14:paraId="657D336B" w14:textId="77777777" w:rsidR="000C1FBC" w:rsidRPr="00711372" w:rsidRDefault="000C1FBC" w:rsidP="00711372">
      <w:pPr>
        <w:spacing w:line="276" w:lineRule="auto"/>
        <w:rPr>
          <w:color w:val="auto"/>
          <w:sz w:val="21"/>
          <w:lang w:eastAsia="en-US"/>
        </w:rPr>
      </w:pPr>
    </w:p>
    <w:p w14:paraId="65F37AA5" w14:textId="77777777" w:rsidR="000C1FBC" w:rsidRPr="00711372" w:rsidRDefault="000C1FBC" w:rsidP="00711372">
      <w:pPr>
        <w:spacing w:after="120" w:line="276" w:lineRule="auto"/>
        <w:rPr>
          <w:b/>
          <w:bCs/>
          <w:color w:val="005267"/>
          <w:sz w:val="21"/>
          <w:bdr w:val="none" w:sz="0" w:space="0" w:color="auto" w:frame="1"/>
        </w:rPr>
      </w:pPr>
      <w:r w:rsidRPr="00711372">
        <w:rPr>
          <w:b/>
          <w:bCs/>
          <w:color w:val="005267"/>
          <w:sz w:val="21"/>
          <w:bdr w:val="none" w:sz="0" w:space="0" w:color="auto" w:frame="1"/>
        </w:rPr>
        <w:t xml:space="preserve">29 APRILE </w:t>
      </w:r>
      <w:bookmarkEnd w:id="2"/>
      <w:r w:rsidRPr="00711372">
        <w:rPr>
          <w:b/>
          <w:bCs/>
          <w:color w:val="005267"/>
          <w:sz w:val="21"/>
          <w:bdr w:val="none" w:sz="0" w:space="0" w:color="auto" w:frame="1"/>
        </w:rPr>
        <w:t>– lunedì  </w:t>
      </w:r>
    </w:p>
    <w:p w14:paraId="48B50C38" w14:textId="77777777"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sidRPr="00711372">
        <w:rPr>
          <w:rFonts w:ascii="Century Gothic" w:hAnsi="Century Gothic"/>
          <w:b/>
          <w:bCs/>
          <w:color w:val="005267"/>
          <w:sz w:val="21"/>
          <w:szCs w:val="21"/>
          <w:bdr w:val="none" w:sz="0" w:space="0" w:color="auto" w:frame="1"/>
        </w:rPr>
        <w:t>JEREZ DE LA FRONTERA – ALMONTE – SIVIGLIA</w:t>
      </w:r>
    </w:p>
    <w:p w14:paraId="4D892DC6" w14:textId="77777777" w:rsidR="00711372" w:rsidRDefault="000C1FBC" w:rsidP="00711372">
      <w:pPr>
        <w:spacing w:line="276" w:lineRule="auto"/>
        <w:rPr>
          <w:color w:val="auto"/>
          <w:sz w:val="21"/>
          <w:lang w:eastAsia="en-US"/>
        </w:rPr>
      </w:pPr>
      <w:r w:rsidRPr="00711372">
        <w:rPr>
          <w:sz w:val="21"/>
        </w:rPr>
        <w:t xml:space="preserve">Trattamento di pensione completa. Partenza per </w:t>
      </w:r>
      <w:r w:rsidRPr="00711372">
        <w:rPr>
          <w:b/>
          <w:bCs/>
          <w:sz w:val="21"/>
        </w:rPr>
        <w:t>Almonte</w:t>
      </w:r>
      <w:r w:rsidRPr="00711372">
        <w:rPr>
          <w:sz w:val="21"/>
        </w:rPr>
        <w:t xml:space="preserve">, il paesino dalle chiese e dalle allegre aree pedonali che vanta numerosi edifici di interesse come la Chiesa di Nuestra Senora de la Asuncion e la Casa Concistoriale del XVI secolo; tuttavia di particolare interesse monumentale è il santuario della Madonna del Rocio, dove ogni anno giunge il Pellegrinaggio della Madonna del Rocio, con migliaia di devoti che riempiono il paese di allegria e fervore religioso. Arrivo a </w:t>
      </w:r>
      <w:r w:rsidRPr="00711372">
        <w:rPr>
          <w:b/>
          <w:bCs/>
          <w:sz w:val="21"/>
        </w:rPr>
        <w:t>Siviglia</w:t>
      </w:r>
      <w:r w:rsidRPr="00711372">
        <w:rPr>
          <w:sz w:val="21"/>
        </w:rPr>
        <w:t xml:space="preserve">, pranzo e nel pomeriggio visita della Cattedrale gotica considerata la più grande in tutta la Spagna e la terza nel mondo; la Torre di Giralda, simbolo della città ex minareto della moschea; il Barrio di Santa Cruz, quartiere ebraico, dalle piccole strade eleganti; la Chiesa di Santa Maria la Blanca, costruita su un’antica sinagoga (esterno), la Casa de Pilatos (1° piano), capolavoro dell’arte mudéjar e per finire la Torre dell’Oro (esterno), del XIII sec. Sistemazione in hotel per la cena e il pernottamento. </w:t>
      </w:r>
    </w:p>
    <w:p w14:paraId="2FEE0738" w14:textId="73CAFE42" w:rsidR="000C1FBC" w:rsidRPr="00711372" w:rsidRDefault="000C1FBC" w:rsidP="00711372">
      <w:pPr>
        <w:spacing w:line="276" w:lineRule="auto"/>
        <w:rPr>
          <w:color w:val="auto"/>
          <w:sz w:val="21"/>
          <w:lang w:eastAsia="en-US"/>
        </w:rPr>
      </w:pPr>
      <w:r w:rsidRPr="00711372">
        <w:rPr>
          <w:b/>
          <w:bCs/>
          <w:color w:val="005267"/>
          <w:sz w:val="21"/>
          <w:bdr w:val="none" w:sz="0" w:space="0" w:color="auto" w:frame="1"/>
        </w:rPr>
        <w:lastRenderedPageBreak/>
        <w:t>30 APRILE – martedì</w:t>
      </w:r>
    </w:p>
    <w:p w14:paraId="5997BE04" w14:textId="77777777"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sidRPr="00711372">
        <w:rPr>
          <w:rFonts w:ascii="Century Gothic" w:hAnsi="Century Gothic"/>
          <w:b/>
          <w:bCs/>
          <w:color w:val="005267"/>
          <w:sz w:val="21"/>
          <w:szCs w:val="21"/>
          <w:bdr w:val="none" w:sz="0" w:space="0" w:color="auto" w:frame="1"/>
        </w:rPr>
        <w:t>SIVIGLIA – SANTIPONCE – SIVIGLIA</w:t>
      </w:r>
    </w:p>
    <w:p w14:paraId="42D3C719" w14:textId="22ADF241" w:rsidR="000C1FBC" w:rsidRDefault="000C1FBC" w:rsidP="00711372">
      <w:pPr>
        <w:spacing w:line="276" w:lineRule="auto"/>
        <w:rPr>
          <w:sz w:val="21"/>
        </w:rPr>
      </w:pPr>
      <w:r w:rsidRPr="00711372">
        <w:rPr>
          <w:sz w:val="21"/>
        </w:rPr>
        <w:t xml:space="preserve">Trattamento di pensione completa. Partenza per la visita di </w:t>
      </w:r>
      <w:r w:rsidRPr="00711372">
        <w:rPr>
          <w:b/>
          <w:bCs/>
          <w:sz w:val="21"/>
        </w:rPr>
        <w:t>Santiponce</w:t>
      </w:r>
      <w:r w:rsidRPr="00711372">
        <w:rPr>
          <w:sz w:val="21"/>
        </w:rPr>
        <w:t xml:space="preserve">, famosa per le rovine romane di Italica, uno dei più importanti siti archeologici della penisola iberica. Fondata nel 206 a.C. da Scipione come campo di riabilitazione dei soldati feriti nelle guerre contro i Cartaginesi, </w:t>
      </w:r>
      <w:r w:rsidRPr="00711372">
        <w:rPr>
          <w:i/>
          <w:iCs/>
          <w:sz w:val="21"/>
        </w:rPr>
        <w:t>Italica</w:t>
      </w:r>
      <w:r w:rsidRPr="00711372">
        <w:rPr>
          <w:sz w:val="21"/>
        </w:rPr>
        <w:t xml:space="preserve"> divenne una delle città più importanti dell’impero e diede i natali all’imperatore Traiano. Il sito comprende ampie strade lastricate e resti di case con splendidi mosaici, tra cui i più importanti si trovano all’interno della Casa del Planetario, dove nel mosaico sono raffigurante le divinità dei sette giorni della settimana, e nella Casa de los Pájaros. Italica racchiude anche uno dei più grandi anfiteatri romani. Altro importante monumento è il Monastero di San Isidoro del Campo, uno splendido edificio medievale tra i più superbi esempi di architettura gotico-moresca della provincia di Siviglia. Fondato nel 1298 dove sorgeva una chiesa visigota, il monastero è famoso per esser stato il luogo dove è stata tradotta per la prima volta la Bibbia in lingua spagnola. Pranzo in corso di visite. Nel pomeriggio si termineranno le visite di </w:t>
      </w:r>
      <w:r w:rsidRPr="00711372">
        <w:rPr>
          <w:b/>
          <w:bCs/>
          <w:sz w:val="21"/>
        </w:rPr>
        <w:t>Siviglia</w:t>
      </w:r>
      <w:r w:rsidRPr="00711372">
        <w:rPr>
          <w:sz w:val="21"/>
        </w:rPr>
        <w:t xml:space="preserve"> con l’ampia e moderna zona allestita per l’Expo ’92, il magnifico Parco di Maria Luisa, il Barrio de la Macarena, il quartiere più popolare di Siviglia, con case bianche, piccoli patios e azulejos; la Chiesa della Macarena, dove si venera la popolare Vergine de la Macarena, protagonista del Giovedì Santo; la Plaza de Toros (esterno) nel quartiere dell’Arenal, uno dei più belli della città. Non mancherà la visita esterna al Metropol Parasol una struttura di architettura contemporanea costruita nella piazza della Encarnacion nel 2011 dall’architetto tedesco Jurgen Mayer. La struttura rappresenta un enorme parasole, completamente realizzato in legno, e regala ombra alla piazza. Cena e pernottamento in hotel.</w:t>
      </w:r>
    </w:p>
    <w:p w14:paraId="06335B9E" w14:textId="77777777" w:rsidR="00711372" w:rsidRPr="00711372" w:rsidRDefault="00711372" w:rsidP="00711372">
      <w:pPr>
        <w:spacing w:line="276" w:lineRule="auto"/>
        <w:rPr>
          <w:b/>
          <w:bCs/>
          <w:color w:val="005267"/>
          <w:sz w:val="2"/>
          <w:szCs w:val="2"/>
          <w:bdr w:val="none" w:sz="0" w:space="0" w:color="auto" w:frame="1"/>
        </w:rPr>
      </w:pPr>
    </w:p>
    <w:p w14:paraId="45A3334E" w14:textId="77777777" w:rsidR="000C1FBC" w:rsidRPr="00711372" w:rsidRDefault="000C1FBC" w:rsidP="00711372">
      <w:pPr>
        <w:spacing w:after="120" w:line="276" w:lineRule="auto"/>
        <w:rPr>
          <w:b/>
          <w:bCs/>
          <w:color w:val="005267"/>
          <w:sz w:val="21"/>
          <w:bdr w:val="none" w:sz="0" w:space="0" w:color="auto" w:frame="1"/>
        </w:rPr>
      </w:pPr>
      <w:r w:rsidRPr="00711372">
        <w:rPr>
          <w:b/>
          <w:bCs/>
          <w:color w:val="005267"/>
          <w:sz w:val="21"/>
          <w:bdr w:val="none" w:sz="0" w:space="0" w:color="auto" w:frame="1"/>
        </w:rPr>
        <w:t>01 MAGGIO – mercoledì</w:t>
      </w:r>
    </w:p>
    <w:p w14:paraId="20F41D17" w14:textId="77777777"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sidRPr="00711372">
        <w:rPr>
          <w:rFonts w:ascii="Century Gothic" w:hAnsi="Century Gothic"/>
          <w:b/>
          <w:bCs/>
          <w:color w:val="005267"/>
          <w:sz w:val="21"/>
          <w:szCs w:val="21"/>
          <w:bdr w:val="none" w:sz="0" w:space="0" w:color="auto" w:frame="1"/>
        </w:rPr>
        <w:t>SIVIGLIA – CORDOVA – GRANADA</w:t>
      </w:r>
    </w:p>
    <w:p w14:paraId="78D989B7" w14:textId="7B4E721E" w:rsidR="000C1FBC" w:rsidRDefault="000C1FBC" w:rsidP="00711372">
      <w:pPr>
        <w:spacing w:line="276" w:lineRule="auto"/>
        <w:rPr>
          <w:sz w:val="21"/>
        </w:rPr>
      </w:pPr>
      <w:r w:rsidRPr="00711372">
        <w:rPr>
          <w:color w:val="auto"/>
          <w:sz w:val="21"/>
          <w:lang w:eastAsia="en-US"/>
        </w:rPr>
        <w:t>Trattamento</w:t>
      </w:r>
      <w:r w:rsidRPr="00711372">
        <w:rPr>
          <w:sz w:val="21"/>
        </w:rPr>
        <w:t xml:space="preserve"> di pensione completa. Partenza per </w:t>
      </w:r>
      <w:r w:rsidRPr="00711372">
        <w:rPr>
          <w:b/>
          <w:bCs/>
          <w:sz w:val="21"/>
        </w:rPr>
        <w:t>Cordova</w:t>
      </w:r>
      <w:r w:rsidRPr="00711372">
        <w:rPr>
          <w:sz w:val="21"/>
        </w:rPr>
        <w:t xml:space="preserve">, visita della Moschea, una delle più belle opere d'arte islamica in Spagna, con un bellissimo “bosco di colonne” ed un sontuoso "mihrab". A seguire passeggiata per il Quartiere Ebraico, con le sue viuzze caratteristiche, le case con i balconi colmi di fiori ed i tradizionali cortili andalusi. Pranzo in corso di visite. Nel pomeriggio proseguimento per </w:t>
      </w:r>
      <w:r w:rsidRPr="00711372">
        <w:rPr>
          <w:b/>
          <w:bCs/>
          <w:sz w:val="21"/>
        </w:rPr>
        <w:t>Granada</w:t>
      </w:r>
      <w:r w:rsidRPr="00711372">
        <w:rPr>
          <w:sz w:val="21"/>
        </w:rPr>
        <w:t>. All’arrivo, sistemazione in hotel, cena e pernottamento.</w:t>
      </w:r>
    </w:p>
    <w:p w14:paraId="0B7CF22C" w14:textId="77777777" w:rsidR="00711372" w:rsidRPr="00711372" w:rsidRDefault="00711372" w:rsidP="00711372">
      <w:pPr>
        <w:spacing w:line="276" w:lineRule="auto"/>
        <w:rPr>
          <w:color w:val="auto"/>
          <w:sz w:val="2"/>
          <w:szCs w:val="2"/>
        </w:rPr>
      </w:pPr>
    </w:p>
    <w:p w14:paraId="4C85331B" w14:textId="77777777" w:rsidR="000C1FBC" w:rsidRPr="00711372" w:rsidRDefault="000C1FBC" w:rsidP="00711372">
      <w:pPr>
        <w:spacing w:after="120" w:line="276" w:lineRule="auto"/>
        <w:rPr>
          <w:b/>
          <w:bCs/>
          <w:color w:val="005267"/>
          <w:sz w:val="21"/>
          <w:bdr w:val="none" w:sz="0" w:space="0" w:color="auto" w:frame="1"/>
        </w:rPr>
      </w:pPr>
      <w:r w:rsidRPr="00711372">
        <w:rPr>
          <w:b/>
          <w:bCs/>
          <w:color w:val="005267"/>
          <w:sz w:val="21"/>
          <w:bdr w:val="none" w:sz="0" w:space="0" w:color="auto" w:frame="1"/>
        </w:rPr>
        <w:t xml:space="preserve">02 MAGGIO – giovedì </w:t>
      </w:r>
    </w:p>
    <w:p w14:paraId="2D0675F1" w14:textId="77777777"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sidRPr="00711372">
        <w:rPr>
          <w:rFonts w:ascii="Century Gothic" w:hAnsi="Century Gothic"/>
          <w:b/>
          <w:bCs/>
          <w:color w:val="005267"/>
          <w:sz w:val="21"/>
          <w:szCs w:val="21"/>
          <w:bdr w:val="none" w:sz="0" w:space="0" w:color="auto" w:frame="1"/>
        </w:rPr>
        <w:t>GRANADA</w:t>
      </w:r>
    </w:p>
    <w:p w14:paraId="2551E7D0" w14:textId="53632C78" w:rsidR="000C1FBC" w:rsidRPr="00711372" w:rsidRDefault="000C1FBC" w:rsidP="00711372">
      <w:pPr>
        <w:shd w:val="clear" w:color="auto" w:fill="auto"/>
        <w:spacing w:after="0" w:line="276" w:lineRule="auto"/>
        <w:rPr>
          <w:color w:val="000000"/>
          <w:sz w:val="21"/>
        </w:rPr>
      </w:pPr>
      <w:r w:rsidRPr="00711372">
        <w:rPr>
          <w:sz w:val="21"/>
        </w:rPr>
        <w:t>Trattamento di pensione completa. Al mattino, visita dell’Alhambra, il monumento più bello lasciato dall’arte araba. Una volta palazzo reale e fortezza, questo complesso di stanze e cortili di una bellezza unica ci fa evocare lo splendore del passato arabo della città. Poi visita del Giardini del Generalife, residenza di riposo dei re Naziridi, con splendidi giochi d’acqua e stagni in un giardino molto curato con abbondanti fiori di diverse specie. Visita alla Cattedrale. Pranzo in corso di visite. Cena e pernottamento in hotel.</w:t>
      </w:r>
    </w:p>
    <w:p w14:paraId="5236EADB" w14:textId="77777777" w:rsidR="000C1FBC" w:rsidRPr="00711372" w:rsidRDefault="000C1FBC" w:rsidP="00711372">
      <w:pPr>
        <w:spacing w:after="120" w:line="276" w:lineRule="auto"/>
        <w:rPr>
          <w:b/>
          <w:bCs/>
          <w:color w:val="005267"/>
          <w:sz w:val="21"/>
          <w:bdr w:val="none" w:sz="0" w:space="0" w:color="auto" w:frame="1"/>
        </w:rPr>
      </w:pPr>
      <w:r w:rsidRPr="00711372">
        <w:rPr>
          <w:b/>
          <w:bCs/>
          <w:color w:val="005267"/>
          <w:sz w:val="21"/>
          <w:bdr w:val="none" w:sz="0" w:space="0" w:color="auto" w:frame="1"/>
        </w:rPr>
        <w:lastRenderedPageBreak/>
        <w:t xml:space="preserve">03 MAGGIO – venerdì </w:t>
      </w:r>
    </w:p>
    <w:p w14:paraId="1FDCBAAA" w14:textId="77777777" w:rsidR="000C1FBC" w:rsidRPr="00711372" w:rsidRDefault="000C1FBC"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sidRPr="00711372">
        <w:rPr>
          <w:rFonts w:ascii="Century Gothic" w:hAnsi="Century Gothic"/>
          <w:b/>
          <w:bCs/>
          <w:color w:val="005267"/>
          <w:sz w:val="21"/>
          <w:szCs w:val="21"/>
          <w:bdr w:val="none" w:sz="0" w:space="0" w:color="auto" w:frame="1"/>
        </w:rPr>
        <w:t>GRANADA – NERJA – ANTEQUERA - MALAGA</w:t>
      </w:r>
    </w:p>
    <w:p w14:paraId="57C9C2A1" w14:textId="1EADD10F" w:rsidR="000C1FBC" w:rsidRDefault="000C1FBC" w:rsidP="00711372">
      <w:pPr>
        <w:spacing w:line="276" w:lineRule="auto"/>
        <w:rPr>
          <w:sz w:val="21"/>
        </w:rPr>
      </w:pPr>
      <w:r w:rsidRPr="00711372">
        <w:rPr>
          <w:sz w:val="21"/>
        </w:rPr>
        <w:t xml:space="preserve">Trattamento di pensione completa. Partenza verso </w:t>
      </w:r>
      <w:r w:rsidRPr="00711372">
        <w:rPr>
          <w:b/>
          <w:bCs/>
          <w:sz w:val="21"/>
        </w:rPr>
        <w:t>Nerja</w:t>
      </w:r>
      <w:r w:rsidRPr="00711372">
        <w:rPr>
          <w:sz w:val="21"/>
        </w:rPr>
        <w:t xml:space="preserve">, la cittadina sorge su un picco roccioso, chiamato il Balcone d’Europa da cui si gode un panorama di montagne e di mare davvero unico. Visita della sua famosa Grotta, che possiede sale e gallerie con impressionanti strutture di stalattiti e stalagmiti. Proseguimento per </w:t>
      </w:r>
      <w:r w:rsidRPr="00711372">
        <w:rPr>
          <w:b/>
          <w:bCs/>
          <w:sz w:val="21"/>
        </w:rPr>
        <w:t>Antequera</w:t>
      </w:r>
      <w:r w:rsidRPr="00711372">
        <w:rPr>
          <w:sz w:val="21"/>
        </w:rPr>
        <w:t xml:space="preserve"> per la visita a una delle città storiche più belle dell’Andalusia, dominata dall’imponente Alcazaba e dalla Basilica di Santa Maria. Un’enorme falesia di roccia calcarea alta 880 metri, la Pena de los Enamorados si staglia in contrapposizione con il centro. Visita ai 3 Dolmens che si trovano appena fuori dal centro, </w:t>
      </w:r>
      <w:r w:rsidRPr="00711372">
        <w:rPr>
          <w:i/>
          <w:iCs/>
          <w:sz w:val="21"/>
        </w:rPr>
        <w:t>Patrimonio dell’Unesco</w:t>
      </w:r>
      <w:r w:rsidRPr="00711372">
        <w:rPr>
          <w:sz w:val="21"/>
        </w:rPr>
        <w:t xml:space="preserve">, che rappresentano le grandi tradizioni megalitiche dell’architettura funeraria Iberica. Pranzo in corso di visite. Partenza per </w:t>
      </w:r>
      <w:r w:rsidRPr="00711372">
        <w:rPr>
          <w:b/>
          <w:bCs/>
          <w:sz w:val="21"/>
        </w:rPr>
        <w:t>Malaga</w:t>
      </w:r>
      <w:r w:rsidRPr="00711372">
        <w:rPr>
          <w:sz w:val="21"/>
        </w:rPr>
        <w:t>; all’arrivo sistemazione in hotel per la cena e il pernottamento.</w:t>
      </w:r>
    </w:p>
    <w:p w14:paraId="0D3A01A5" w14:textId="77777777" w:rsidR="00711372" w:rsidRPr="00711372" w:rsidRDefault="00711372" w:rsidP="00711372">
      <w:pPr>
        <w:spacing w:line="276" w:lineRule="auto"/>
        <w:rPr>
          <w:sz w:val="6"/>
          <w:szCs w:val="6"/>
        </w:rPr>
      </w:pPr>
    </w:p>
    <w:p w14:paraId="723C9106" w14:textId="77777777" w:rsidR="000C1FBC" w:rsidRPr="00711372" w:rsidRDefault="000C1FBC" w:rsidP="00711372">
      <w:pPr>
        <w:spacing w:after="120" w:line="276" w:lineRule="auto"/>
        <w:rPr>
          <w:b/>
          <w:bCs/>
          <w:color w:val="005267"/>
          <w:sz w:val="21"/>
          <w:bdr w:val="none" w:sz="0" w:space="0" w:color="auto" w:frame="1"/>
        </w:rPr>
      </w:pPr>
      <w:r w:rsidRPr="00711372">
        <w:rPr>
          <w:b/>
          <w:bCs/>
          <w:color w:val="005267"/>
          <w:sz w:val="21"/>
          <w:bdr w:val="none" w:sz="0" w:space="0" w:color="auto" w:frame="1"/>
        </w:rPr>
        <w:t>04 MAGGIO – sabato    </w:t>
      </w:r>
    </w:p>
    <w:p w14:paraId="18947AA9" w14:textId="00705533" w:rsidR="000C1FBC" w:rsidRPr="00711372" w:rsidRDefault="00BD6219" w:rsidP="00711372">
      <w:pPr>
        <w:pStyle w:val="xmsonormal"/>
        <w:shd w:val="clear" w:color="auto" w:fill="FFFFFF"/>
        <w:spacing w:before="0" w:beforeAutospacing="0" w:after="120" w:afterAutospacing="0" w:line="276" w:lineRule="auto"/>
        <w:jc w:val="both"/>
        <w:rPr>
          <w:rFonts w:ascii="Century Gothic" w:hAnsi="Century Gothic"/>
          <w:b/>
          <w:bCs/>
          <w:color w:val="005267"/>
          <w:sz w:val="21"/>
          <w:szCs w:val="21"/>
          <w:bdr w:val="none" w:sz="0" w:space="0" w:color="auto" w:frame="1"/>
        </w:rPr>
      </w:pPr>
      <w:r>
        <w:rPr>
          <w:rFonts w:ascii="Century Gothic" w:hAnsi="Century Gothic"/>
          <w:b/>
          <w:bCs/>
          <w:color w:val="005267"/>
          <w:sz w:val="21"/>
          <w:szCs w:val="21"/>
          <w:bdr w:val="none" w:sz="0" w:space="0" w:color="auto" w:frame="1"/>
        </w:rPr>
        <w:t>MADRID</w:t>
      </w:r>
      <w:r w:rsidR="000C1FBC" w:rsidRPr="00711372">
        <w:rPr>
          <w:rFonts w:ascii="Century Gothic" w:hAnsi="Century Gothic"/>
          <w:b/>
          <w:bCs/>
          <w:color w:val="005267"/>
          <w:sz w:val="21"/>
          <w:szCs w:val="21"/>
          <w:bdr w:val="none" w:sz="0" w:space="0" w:color="auto" w:frame="1"/>
        </w:rPr>
        <w:t xml:space="preserve"> – </w:t>
      </w:r>
      <w:r>
        <w:rPr>
          <w:rFonts w:ascii="Century Gothic" w:hAnsi="Century Gothic"/>
          <w:b/>
          <w:bCs/>
          <w:color w:val="005267"/>
          <w:sz w:val="21"/>
          <w:szCs w:val="21"/>
          <w:bdr w:val="none" w:sz="0" w:space="0" w:color="auto" w:frame="1"/>
        </w:rPr>
        <w:t>BOLOGNA</w:t>
      </w:r>
      <w:r w:rsidR="000C1FBC" w:rsidRPr="00711372">
        <w:rPr>
          <w:rFonts w:ascii="Century Gothic" w:hAnsi="Century Gothic"/>
          <w:b/>
          <w:bCs/>
          <w:color w:val="005267"/>
          <w:sz w:val="21"/>
          <w:szCs w:val="21"/>
          <w:bdr w:val="none" w:sz="0" w:space="0" w:color="auto" w:frame="1"/>
        </w:rPr>
        <w:t xml:space="preserve"> </w:t>
      </w:r>
    </w:p>
    <w:p w14:paraId="13325307" w14:textId="77777777" w:rsidR="000C1FBC" w:rsidRPr="00711372" w:rsidRDefault="000C1FBC" w:rsidP="00711372">
      <w:pPr>
        <w:spacing w:line="276" w:lineRule="auto"/>
        <w:rPr>
          <w:sz w:val="21"/>
        </w:rPr>
      </w:pPr>
      <w:r w:rsidRPr="00711372">
        <w:rPr>
          <w:sz w:val="21"/>
        </w:rPr>
        <w:t xml:space="preserve">Prima colazione in hotel e mattinata dedicata alla visita del Museo  Picasso, centro che raccoglie più di 200 opere dell’Artista oltre che rispondere alla sua volontà che sorgesse appunto un museo nella sua città natale. Pranzo anticipato e in tempo utile trasferimento all’aeroporto per il rientro a Bologna con volo di linea Iberia, via Madrid. </w:t>
      </w:r>
    </w:p>
    <w:p w14:paraId="7C8EF6F9" w14:textId="77777777" w:rsidR="000C1FBC" w:rsidRPr="00711372" w:rsidRDefault="000C1FBC" w:rsidP="00711372">
      <w:pPr>
        <w:spacing w:line="276" w:lineRule="auto"/>
        <w:rPr>
          <w:sz w:val="21"/>
        </w:rPr>
      </w:pPr>
    </w:p>
    <w:p w14:paraId="4EBA4C67" w14:textId="055DDE94" w:rsidR="000C1FBC" w:rsidRDefault="000C1FBC"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7D3079C0" w14:textId="47BBBE79"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08870E63" w14:textId="403FAB0E"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65920FAD" w14:textId="2F7046A7"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0153303D" w14:textId="6F6E5725"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77120F1D" w14:textId="0ADACDD7"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07175FCA" w14:textId="26C28214"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0F050DDD" w14:textId="4FF18D88"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00CF87BB" w14:textId="3496C4EF"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170DE0EA" w14:textId="0A7A390E"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0DEB8739" w14:textId="1FAF4939"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2298D1AF" w14:textId="5BB0EAB8"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2D29899F" w14:textId="2D9162CB"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3D87CAE8" w14:textId="1D7FF2DC"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5094ADD3" w14:textId="72DD5190"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2F8F0051" w14:textId="1C0BF8C6"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12537323" w14:textId="2674C9D4" w:rsid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696F81C3" w14:textId="77777777" w:rsidR="00711372" w:rsidRPr="00711372" w:rsidRDefault="00711372"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09E445D7" w14:textId="77777777" w:rsidR="000C1FBC" w:rsidRPr="00711372" w:rsidRDefault="000C1FBC" w:rsidP="00711372">
      <w:pPr>
        <w:pStyle w:val="xmsonormal"/>
        <w:shd w:val="clear" w:color="auto" w:fill="FFFFFF"/>
        <w:spacing w:before="0" w:beforeAutospacing="0" w:after="0" w:afterAutospacing="0" w:line="276" w:lineRule="auto"/>
        <w:jc w:val="both"/>
        <w:rPr>
          <w:rFonts w:ascii="Century Gothic" w:hAnsi="Century Gothic" w:cs="Arial"/>
          <w:color w:val="000000"/>
          <w:sz w:val="21"/>
          <w:szCs w:val="21"/>
          <w:bdr w:val="none" w:sz="0" w:space="0" w:color="auto" w:frame="1"/>
        </w:rPr>
      </w:pPr>
    </w:p>
    <w:p w14:paraId="5C11E914" w14:textId="77777777" w:rsidR="000C1FBC" w:rsidRPr="00711372" w:rsidRDefault="000C1FBC" w:rsidP="00711372">
      <w:pPr>
        <w:pStyle w:val="Corpotesto"/>
        <w:shd w:val="clear" w:color="auto" w:fill="BFBFBF" w:themeFill="background1" w:themeFillShade="BF"/>
        <w:spacing w:after="0" w:line="276" w:lineRule="auto"/>
        <w:jc w:val="center"/>
        <w:rPr>
          <w:rFonts w:ascii="Century Gothic" w:hAnsi="Century Gothic" w:cs="Arial"/>
          <w:b/>
          <w:bCs/>
          <w:color w:val="005267"/>
          <w:sz w:val="21"/>
          <w:szCs w:val="21"/>
        </w:rPr>
      </w:pPr>
      <w:r w:rsidRPr="00711372">
        <w:rPr>
          <w:rFonts w:ascii="Century Gothic" w:hAnsi="Century Gothic" w:cs="Arial"/>
          <w:b/>
          <w:bCs/>
          <w:color w:val="005267"/>
          <w:sz w:val="21"/>
          <w:szCs w:val="21"/>
        </w:rPr>
        <w:lastRenderedPageBreak/>
        <w:t>Scheda del viaggio</w:t>
      </w:r>
    </w:p>
    <w:tbl>
      <w:tblPr>
        <w:tblStyle w:val="Grigliatabella"/>
        <w:tblW w:w="4921" w:type="pct"/>
        <w:jc w:val="center"/>
        <w:shd w:val="clear" w:color="auto" w:fill="F3F3F3"/>
        <w:tblLook w:val="04A0" w:firstRow="1" w:lastRow="0" w:firstColumn="1" w:lastColumn="0" w:noHBand="0" w:noVBand="1"/>
      </w:tblPr>
      <w:tblGrid>
        <w:gridCol w:w="7424"/>
        <w:gridCol w:w="2890"/>
      </w:tblGrid>
      <w:tr w:rsidR="000C1FBC" w:rsidRPr="00711372" w14:paraId="533C403B" w14:textId="77777777" w:rsidTr="0049174A">
        <w:trPr>
          <w:trHeight w:val="567"/>
          <w:jc w:val="center"/>
        </w:trPr>
        <w:tc>
          <w:tcPr>
            <w:tcW w:w="3599" w:type="pct"/>
            <w:shd w:val="clear" w:color="auto" w:fill="FFFFFF" w:themeFill="background1"/>
            <w:vAlign w:val="center"/>
            <w:hideMark/>
          </w:tcPr>
          <w:p w14:paraId="3627800E" w14:textId="77777777" w:rsidR="000C1FBC" w:rsidRPr="00711372" w:rsidRDefault="000C1FBC" w:rsidP="00711372">
            <w:pPr>
              <w:spacing w:line="276" w:lineRule="auto"/>
              <w:rPr>
                <w:b/>
                <w:color w:val="262626" w:themeColor="text1" w:themeTint="D9"/>
                <w:sz w:val="21"/>
              </w:rPr>
            </w:pPr>
            <w:r w:rsidRPr="00711372">
              <w:rPr>
                <w:b/>
                <w:color w:val="262626" w:themeColor="text1" w:themeTint="D9"/>
                <w:sz w:val="21"/>
              </w:rPr>
              <w:t xml:space="preserve">Quota di partecipazione </w:t>
            </w:r>
            <w:r w:rsidRPr="00711372">
              <w:rPr>
                <w:bCs/>
                <w:color w:val="262626" w:themeColor="text1" w:themeTint="D9"/>
                <w:sz w:val="21"/>
              </w:rPr>
              <w:t>in camera doppia per persona (min.)</w:t>
            </w:r>
          </w:p>
        </w:tc>
        <w:tc>
          <w:tcPr>
            <w:tcW w:w="1401" w:type="pct"/>
            <w:shd w:val="clear" w:color="auto" w:fill="FFFFFF" w:themeFill="background1"/>
            <w:vAlign w:val="center"/>
          </w:tcPr>
          <w:p w14:paraId="2468601F" w14:textId="77777777" w:rsidR="000C1FBC" w:rsidRPr="00711372" w:rsidRDefault="000C1FBC" w:rsidP="00711372">
            <w:pPr>
              <w:spacing w:line="276" w:lineRule="auto"/>
              <w:rPr>
                <w:b/>
                <w:color w:val="262626" w:themeColor="text1" w:themeTint="D9"/>
                <w:sz w:val="21"/>
                <w:highlight w:val="yellow"/>
              </w:rPr>
            </w:pPr>
            <w:r w:rsidRPr="00711372">
              <w:rPr>
                <w:b/>
                <w:color w:val="262626" w:themeColor="text1" w:themeTint="D9"/>
                <w:sz w:val="21"/>
                <w:highlight w:val="yellow"/>
              </w:rPr>
              <w:t>€ 1.885,00</w:t>
            </w:r>
          </w:p>
        </w:tc>
      </w:tr>
      <w:tr w:rsidR="000C1FBC" w:rsidRPr="00711372" w14:paraId="6C445391" w14:textId="77777777" w:rsidTr="0049174A">
        <w:trPr>
          <w:trHeight w:val="567"/>
          <w:jc w:val="center"/>
        </w:trPr>
        <w:tc>
          <w:tcPr>
            <w:tcW w:w="3599" w:type="pct"/>
            <w:shd w:val="clear" w:color="auto" w:fill="FFFFFF" w:themeFill="background1"/>
            <w:vAlign w:val="center"/>
          </w:tcPr>
          <w:p w14:paraId="4978EF66" w14:textId="77777777" w:rsidR="000C1FBC" w:rsidRPr="00711372" w:rsidRDefault="000C1FBC" w:rsidP="00711372">
            <w:pPr>
              <w:spacing w:line="276" w:lineRule="auto"/>
              <w:rPr>
                <w:b/>
                <w:color w:val="262626" w:themeColor="text1" w:themeTint="D9"/>
                <w:sz w:val="21"/>
              </w:rPr>
            </w:pPr>
            <w:r w:rsidRPr="00711372">
              <w:rPr>
                <w:b/>
                <w:color w:val="262626" w:themeColor="text1" w:themeTint="D9"/>
                <w:sz w:val="21"/>
              </w:rPr>
              <w:t>Supplemento camera singola</w:t>
            </w:r>
          </w:p>
        </w:tc>
        <w:tc>
          <w:tcPr>
            <w:tcW w:w="1401" w:type="pct"/>
            <w:shd w:val="clear" w:color="auto" w:fill="FFFFFF" w:themeFill="background1"/>
            <w:vAlign w:val="center"/>
          </w:tcPr>
          <w:p w14:paraId="3F84FF56" w14:textId="77777777" w:rsidR="000C1FBC" w:rsidRPr="00711372" w:rsidRDefault="000C1FBC" w:rsidP="00711372">
            <w:pPr>
              <w:spacing w:line="276" w:lineRule="auto"/>
              <w:rPr>
                <w:b/>
                <w:color w:val="262626" w:themeColor="text1" w:themeTint="D9"/>
                <w:sz w:val="21"/>
              </w:rPr>
            </w:pPr>
            <w:r w:rsidRPr="00711372">
              <w:rPr>
                <w:b/>
                <w:color w:val="262626" w:themeColor="text1" w:themeTint="D9"/>
                <w:sz w:val="21"/>
                <w:highlight w:val="yellow"/>
              </w:rPr>
              <w:t>€  420,00</w:t>
            </w:r>
          </w:p>
        </w:tc>
      </w:tr>
      <w:tr w:rsidR="000C1FBC" w:rsidRPr="00711372" w14:paraId="27491E43" w14:textId="77777777" w:rsidTr="0049174A">
        <w:trPr>
          <w:trHeight w:val="567"/>
          <w:jc w:val="center"/>
        </w:trPr>
        <w:tc>
          <w:tcPr>
            <w:tcW w:w="3599" w:type="pct"/>
            <w:shd w:val="clear" w:color="auto" w:fill="FFFFFF" w:themeFill="background1"/>
            <w:vAlign w:val="center"/>
          </w:tcPr>
          <w:p w14:paraId="1446CCE7" w14:textId="77777777" w:rsidR="000C1FBC" w:rsidRPr="00711372" w:rsidRDefault="000C1FBC" w:rsidP="00711372">
            <w:pPr>
              <w:spacing w:line="276" w:lineRule="auto"/>
              <w:rPr>
                <w:b/>
                <w:color w:val="262626" w:themeColor="text1" w:themeTint="D9"/>
                <w:sz w:val="21"/>
              </w:rPr>
            </w:pPr>
            <w:r w:rsidRPr="00711372">
              <w:rPr>
                <w:b/>
                <w:color w:val="262626" w:themeColor="text1" w:themeTint="D9"/>
                <w:sz w:val="21"/>
              </w:rPr>
              <w:t>Estensioni assicurazione</w:t>
            </w:r>
          </w:p>
          <w:p w14:paraId="7B2F6AB1" w14:textId="77777777" w:rsidR="000C1FBC" w:rsidRPr="00711372" w:rsidRDefault="000C1FBC" w:rsidP="00711372">
            <w:pPr>
              <w:spacing w:line="276" w:lineRule="auto"/>
              <w:rPr>
                <w:bCs/>
                <w:color w:val="262626" w:themeColor="text1" w:themeTint="D9"/>
                <w:sz w:val="21"/>
              </w:rPr>
            </w:pPr>
            <w:r w:rsidRPr="00711372">
              <w:rPr>
                <w:bCs/>
                <w:color w:val="262626" w:themeColor="text1" w:themeTint="D9"/>
                <w:sz w:val="21"/>
              </w:rPr>
              <w:t>(aumento massimale sino a € 200 mila euro ed estensione annullamento)</w:t>
            </w:r>
          </w:p>
        </w:tc>
        <w:tc>
          <w:tcPr>
            <w:tcW w:w="1401" w:type="pct"/>
            <w:shd w:val="clear" w:color="auto" w:fill="FFFFFF" w:themeFill="background1"/>
          </w:tcPr>
          <w:p w14:paraId="651D1204" w14:textId="77777777" w:rsidR="000C1FBC" w:rsidRPr="00711372" w:rsidRDefault="000C1FBC" w:rsidP="00711372">
            <w:pPr>
              <w:spacing w:line="276" w:lineRule="auto"/>
              <w:rPr>
                <w:b/>
                <w:color w:val="262626" w:themeColor="text1" w:themeTint="D9"/>
                <w:sz w:val="21"/>
              </w:rPr>
            </w:pPr>
            <w:r w:rsidRPr="00711372">
              <w:rPr>
                <w:b/>
                <w:color w:val="262626" w:themeColor="text1" w:themeTint="D9"/>
                <w:sz w:val="21"/>
              </w:rPr>
              <w:t>Su richiesta: Globy Rosso e Globy Verde, con supplementi</w:t>
            </w:r>
          </w:p>
        </w:tc>
      </w:tr>
    </w:tbl>
    <w:p w14:paraId="3B1ABF04" w14:textId="77777777" w:rsidR="000C1FBC" w:rsidRPr="00711372" w:rsidRDefault="000C1FBC" w:rsidP="00711372">
      <w:pPr>
        <w:pStyle w:val="xmsonormal"/>
        <w:shd w:val="clear" w:color="auto" w:fill="FFFFFF" w:themeFill="background1"/>
        <w:spacing w:before="480" w:beforeAutospacing="0" w:after="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La quota comprende:</w:t>
      </w:r>
    </w:p>
    <w:p w14:paraId="0C1ECBA8" w14:textId="77777777" w:rsidR="000C1FBC" w:rsidRPr="00711372" w:rsidRDefault="000C1FBC" w:rsidP="00711372">
      <w:pPr>
        <w:pStyle w:val="xmsonormal"/>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p>
    <w:p w14:paraId="14779F49"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Volo di linea IBERIA da Bologna per Malaga a/r via Madrid in classe economica.</w:t>
      </w:r>
    </w:p>
    <w:p w14:paraId="4C267049"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Tasse aeroportuali e franchigia bagaglio in stiva di 23 kg.</w:t>
      </w:r>
    </w:p>
    <w:p w14:paraId="79AE8645"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 xml:space="preserve">Sistemazione in alberghi 4* e 3* solo a Malaga in camera doppia con servizi privati </w:t>
      </w:r>
    </w:p>
    <w:p w14:paraId="3761F888"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 xml:space="preserve">Trattamento di pensione completa dalla cena del 1° giorno al pranzo dell’ultimo giorno </w:t>
      </w:r>
    </w:p>
    <w:p w14:paraId="44884FCC"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 xml:space="preserve">Accompagnatore locale in lingua italiana dal 1° all’ultimo giorno. </w:t>
      </w:r>
    </w:p>
    <w:p w14:paraId="3C6A2F82"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 xml:space="preserve">Guide locali parlanti italiano a: Ronda (mezza giornata), Siviglia (2 mezze giornate), Santiponce e Italica (mezza giornata), Cordova (mezza giornata), Granada (2 mezze giornate), Antequera (mezza giornata), Malaga (panoramica + mezza giornata). </w:t>
      </w:r>
    </w:p>
    <w:p w14:paraId="50AD655E"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Bus GT riservato per tutto l’itinerario.</w:t>
      </w:r>
    </w:p>
    <w:p w14:paraId="2716AA81"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 xml:space="preserve">Visita e degustazione a una cantina a Jerez de la Frontera. </w:t>
      </w:r>
    </w:p>
    <w:p w14:paraId="2B97EB29"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b/>
          <w:bCs/>
          <w:color w:val="262626" w:themeColor="text1" w:themeTint="D9"/>
          <w:kern w:val="28"/>
          <w:sz w:val="21"/>
          <w:szCs w:val="21"/>
        </w:rPr>
        <w:t>Ingressi previsti da programma ai siti/monumenti con l’utilizzo di radioguide auricolari</w:t>
      </w:r>
      <w:r w:rsidRPr="00711372">
        <w:rPr>
          <w:rFonts w:ascii="Century Gothic" w:hAnsi="Century Gothic" w:cs="Arial"/>
          <w:color w:val="262626" w:themeColor="text1" w:themeTint="D9"/>
          <w:kern w:val="28"/>
          <w:sz w:val="21"/>
          <w:szCs w:val="21"/>
        </w:rPr>
        <w:t xml:space="preserve"> per un totale di </w:t>
      </w:r>
      <w:r w:rsidRPr="00711372">
        <w:rPr>
          <w:rFonts w:ascii="Century Gothic" w:hAnsi="Century Gothic" w:cs="Arial"/>
          <w:b/>
          <w:bCs/>
          <w:color w:val="262626" w:themeColor="text1" w:themeTint="D9"/>
          <w:kern w:val="28"/>
          <w:sz w:val="21"/>
          <w:szCs w:val="21"/>
        </w:rPr>
        <w:t>€ 110,00</w:t>
      </w:r>
      <w:r w:rsidRPr="00711372">
        <w:rPr>
          <w:rFonts w:ascii="Century Gothic" w:hAnsi="Century Gothic" w:cs="Arial"/>
          <w:color w:val="262626" w:themeColor="text1" w:themeTint="D9"/>
          <w:kern w:val="28"/>
          <w:sz w:val="21"/>
          <w:szCs w:val="21"/>
        </w:rPr>
        <w:t xml:space="preserve"> per persona – </w:t>
      </w:r>
      <w:r w:rsidRPr="00711372">
        <w:rPr>
          <w:rFonts w:ascii="Century Gothic" w:hAnsi="Century Gothic" w:cs="Arial"/>
          <w:color w:val="262626" w:themeColor="text1" w:themeTint="D9"/>
          <w:kern w:val="28"/>
          <w:sz w:val="21"/>
          <w:szCs w:val="21"/>
          <w:u w:val="single"/>
        </w:rPr>
        <w:t>già inclusi in quota</w:t>
      </w:r>
      <w:r w:rsidRPr="00711372">
        <w:rPr>
          <w:rFonts w:ascii="Century Gothic" w:hAnsi="Century Gothic" w:cs="Arial"/>
          <w:color w:val="262626" w:themeColor="text1" w:themeTint="D9"/>
          <w:kern w:val="28"/>
          <w:sz w:val="21"/>
          <w:szCs w:val="21"/>
        </w:rPr>
        <w:t xml:space="preserve"> –: </w:t>
      </w:r>
    </w:p>
    <w:p w14:paraId="7E2544A1" w14:textId="77777777" w:rsidR="000C1FBC" w:rsidRPr="00711372" w:rsidRDefault="000C1FBC" w:rsidP="00711372">
      <w:pPr>
        <w:pStyle w:val="xmsonormal"/>
        <w:shd w:val="clear" w:color="auto" w:fill="FFFFFF" w:themeFill="background1"/>
        <w:spacing w:before="0" w:beforeAutospacing="0" w:after="0" w:afterAutospacing="0" w:line="276" w:lineRule="auto"/>
        <w:ind w:left="720"/>
        <w:jc w:val="both"/>
        <w:rPr>
          <w:rFonts w:ascii="Century Gothic" w:hAnsi="Century Gothic" w:cs="Arial"/>
          <w:color w:val="262626" w:themeColor="text1" w:themeTint="D9"/>
          <w:kern w:val="28"/>
          <w:sz w:val="21"/>
          <w:szCs w:val="21"/>
        </w:rPr>
      </w:pPr>
      <w:r w:rsidRPr="00711372">
        <w:rPr>
          <w:rFonts w:ascii="Century Gothic" w:hAnsi="Century Gothic" w:cs="Arial"/>
          <w:b/>
          <w:bCs/>
          <w:color w:val="262626" w:themeColor="text1" w:themeTint="D9"/>
          <w:kern w:val="28"/>
          <w:sz w:val="21"/>
          <w:szCs w:val="21"/>
        </w:rPr>
        <w:t xml:space="preserve">Malaga: </w:t>
      </w:r>
      <w:r w:rsidRPr="00711372">
        <w:rPr>
          <w:rFonts w:ascii="Century Gothic" w:hAnsi="Century Gothic" w:cs="Arial"/>
          <w:color w:val="262626" w:themeColor="text1" w:themeTint="D9"/>
          <w:kern w:val="28"/>
          <w:sz w:val="21"/>
          <w:szCs w:val="21"/>
        </w:rPr>
        <w:t xml:space="preserve">Museo Picasso </w:t>
      </w:r>
    </w:p>
    <w:p w14:paraId="76C6D24A" w14:textId="77777777" w:rsidR="000C1FBC" w:rsidRPr="00711372" w:rsidRDefault="000C1FBC" w:rsidP="00711372">
      <w:pPr>
        <w:pStyle w:val="xmsonormal"/>
        <w:shd w:val="clear" w:color="auto" w:fill="FFFFFF" w:themeFill="background1"/>
        <w:spacing w:before="0" w:beforeAutospacing="0" w:after="0" w:afterAutospacing="0" w:line="276" w:lineRule="auto"/>
        <w:ind w:left="720"/>
        <w:jc w:val="both"/>
        <w:rPr>
          <w:rFonts w:ascii="Century Gothic" w:hAnsi="Century Gothic" w:cs="Arial"/>
          <w:color w:val="262626" w:themeColor="text1" w:themeTint="D9"/>
          <w:kern w:val="28"/>
          <w:sz w:val="21"/>
          <w:szCs w:val="21"/>
        </w:rPr>
      </w:pPr>
      <w:r w:rsidRPr="00711372">
        <w:rPr>
          <w:rFonts w:ascii="Century Gothic" w:hAnsi="Century Gothic" w:cs="Arial"/>
          <w:b/>
          <w:bCs/>
          <w:color w:val="262626" w:themeColor="text1" w:themeTint="D9"/>
          <w:kern w:val="28"/>
          <w:sz w:val="21"/>
          <w:szCs w:val="21"/>
        </w:rPr>
        <w:t xml:space="preserve">Ronda: </w:t>
      </w:r>
      <w:r w:rsidRPr="00711372">
        <w:rPr>
          <w:rFonts w:ascii="Century Gothic" w:hAnsi="Century Gothic" w:cs="Arial"/>
          <w:color w:val="262626" w:themeColor="text1" w:themeTint="D9"/>
          <w:kern w:val="28"/>
          <w:sz w:val="21"/>
          <w:szCs w:val="21"/>
        </w:rPr>
        <w:t>Pl. Toros. Sta. Maria y D. Bosco</w:t>
      </w:r>
    </w:p>
    <w:p w14:paraId="447E6030" w14:textId="77777777" w:rsidR="000C1FBC" w:rsidRPr="00711372" w:rsidRDefault="000C1FBC" w:rsidP="00711372">
      <w:pPr>
        <w:pStyle w:val="xmsonormal"/>
        <w:shd w:val="clear" w:color="auto" w:fill="FFFFFF" w:themeFill="background1"/>
        <w:spacing w:before="0" w:beforeAutospacing="0" w:after="0" w:afterAutospacing="0" w:line="276" w:lineRule="auto"/>
        <w:ind w:left="720"/>
        <w:jc w:val="both"/>
        <w:rPr>
          <w:rFonts w:ascii="Century Gothic" w:hAnsi="Century Gothic" w:cs="Arial"/>
          <w:color w:val="262626" w:themeColor="text1" w:themeTint="D9"/>
          <w:kern w:val="28"/>
          <w:sz w:val="21"/>
          <w:szCs w:val="21"/>
        </w:rPr>
      </w:pPr>
      <w:r w:rsidRPr="00711372">
        <w:rPr>
          <w:rFonts w:ascii="Century Gothic" w:hAnsi="Century Gothic" w:cs="Arial"/>
          <w:b/>
          <w:bCs/>
          <w:color w:val="262626" w:themeColor="text1" w:themeTint="D9"/>
          <w:kern w:val="28"/>
          <w:sz w:val="21"/>
          <w:szCs w:val="21"/>
        </w:rPr>
        <w:t xml:space="preserve">Sevilla: </w:t>
      </w:r>
      <w:r w:rsidRPr="00711372">
        <w:rPr>
          <w:rFonts w:ascii="Century Gothic" w:hAnsi="Century Gothic" w:cs="Arial"/>
          <w:color w:val="262626" w:themeColor="text1" w:themeTint="D9"/>
          <w:kern w:val="28"/>
          <w:sz w:val="21"/>
          <w:szCs w:val="21"/>
        </w:rPr>
        <w:t>Casa Pilatos, Cattedrale e Giralda, Santiponce e Italica</w:t>
      </w:r>
    </w:p>
    <w:p w14:paraId="3F3CDC4B" w14:textId="77777777" w:rsidR="000C1FBC" w:rsidRPr="00711372" w:rsidRDefault="000C1FBC" w:rsidP="00711372">
      <w:pPr>
        <w:pStyle w:val="xmsonormal"/>
        <w:shd w:val="clear" w:color="auto" w:fill="FFFFFF" w:themeFill="background1"/>
        <w:spacing w:before="0" w:beforeAutospacing="0" w:after="0" w:afterAutospacing="0" w:line="276" w:lineRule="auto"/>
        <w:ind w:left="720"/>
        <w:jc w:val="both"/>
        <w:rPr>
          <w:rFonts w:ascii="Century Gothic" w:hAnsi="Century Gothic" w:cs="Arial"/>
          <w:color w:val="262626" w:themeColor="text1" w:themeTint="D9"/>
          <w:kern w:val="28"/>
          <w:sz w:val="21"/>
          <w:szCs w:val="21"/>
        </w:rPr>
      </w:pPr>
      <w:r w:rsidRPr="00711372">
        <w:rPr>
          <w:rFonts w:ascii="Century Gothic" w:hAnsi="Century Gothic" w:cs="Arial"/>
          <w:b/>
          <w:bCs/>
          <w:color w:val="262626" w:themeColor="text1" w:themeTint="D9"/>
          <w:kern w:val="28"/>
          <w:sz w:val="21"/>
          <w:szCs w:val="21"/>
        </w:rPr>
        <w:t>Cordoba:</w:t>
      </w:r>
      <w:r w:rsidRPr="00711372">
        <w:rPr>
          <w:rFonts w:ascii="Century Gothic" w:hAnsi="Century Gothic" w:cs="Arial"/>
          <w:color w:val="262626" w:themeColor="text1" w:themeTint="D9"/>
          <w:kern w:val="28"/>
          <w:sz w:val="21"/>
          <w:szCs w:val="21"/>
        </w:rPr>
        <w:t xml:space="preserve"> Moschea</w:t>
      </w:r>
    </w:p>
    <w:p w14:paraId="1CDBEE55" w14:textId="77777777" w:rsidR="000C1FBC" w:rsidRPr="00711372" w:rsidRDefault="000C1FBC" w:rsidP="00711372">
      <w:pPr>
        <w:pStyle w:val="xmsonormal"/>
        <w:shd w:val="clear" w:color="auto" w:fill="FFFFFF" w:themeFill="background1"/>
        <w:spacing w:before="0" w:beforeAutospacing="0" w:after="0" w:afterAutospacing="0" w:line="276" w:lineRule="auto"/>
        <w:ind w:left="720"/>
        <w:jc w:val="both"/>
        <w:rPr>
          <w:rFonts w:ascii="Century Gothic" w:hAnsi="Century Gothic" w:cs="Arial"/>
          <w:color w:val="262626" w:themeColor="text1" w:themeTint="D9"/>
          <w:kern w:val="28"/>
          <w:sz w:val="21"/>
          <w:szCs w:val="21"/>
        </w:rPr>
      </w:pPr>
      <w:r w:rsidRPr="00711372">
        <w:rPr>
          <w:rFonts w:ascii="Century Gothic" w:hAnsi="Century Gothic" w:cs="Arial"/>
          <w:b/>
          <w:bCs/>
          <w:color w:val="262626" w:themeColor="text1" w:themeTint="D9"/>
          <w:kern w:val="28"/>
          <w:sz w:val="21"/>
          <w:szCs w:val="21"/>
        </w:rPr>
        <w:t>Granada:</w:t>
      </w:r>
      <w:r w:rsidRPr="00711372">
        <w:rPr>
          <w:rFonts w:ascii="Century Gothic" w:hAnsi="Century Gothic" w:cs="Arial"/>
          <w:color w:val="262626" w:themeColor="text1" w:themeTint="D9"/>
          <w:kern w:val="28"/>
          <w:sz w:val="21"/>
          <w:szCs w:val="21"/>
        </w:rPr>
        <w:t xml:space="preserve"> Alhambra e Generalife, Cattedrale e Cappella Reale</w:t>
      </w:r>
    </w:p>
    <w:p w14:paraId="3C52F87D" w14:textId="77777777" w:rsidR="000C1FBC" w:rsidRPr="00711372" w:rsidRDefault="000C1FBC" w:rsidP="00711372">
      <w:pPr>
        <w:pStyle w:val="xmsonormal"/>
        <w:shd w:val="clear" w:color="auto" w:fill="FFFFFF" w:themeFill="background1"/>
        <w:spacing w:before="0" w:beforeAutospacing="0" w:after="0" w:afterAutospacing="0" w:line="276" w:lineRule="auto"/>
        <w:ind w:left="720"/>
        <w:jc w:val="both"/>
        <w:rPr>
          <w:rFonts w:ascii="Century Gothic" w:hAnsi="Century Gothic" w:cs="Arial"/>
          <w:color w:val="262626" w:themeColor="text1" w:themeTint="D9"/>
          <w:kern w:val="28"/>
          <w:sz w:val="21"/>
          <w:szCs w:val="21"/>
        </w:rPr>
      </w:pPr>
      <w:r w:rsidRPr="00711372">
        <w:rPr>
          <w:rFonts w:ascii="Century Gothic" w:hAnsi="Century Gothic" w:cs="Arial"/>
          <w:b/>
          <w:bCs/>
          <w:color w:val="262626" w:themeColor="text1" w:themeTint="D9"/>
          <w:kern w:val="28"/>
          <w:sz w:val="21"/>
          <w:szCs w:val="21"/>
        </w:rPr>
        <w:t>Antequera:</w:t>
      </w:r>
      <w:r w:rsidRPr="00711372">
        <w:rPr>
          <w:rFonts w:ascii="Century Gothic" w:hAnsi="Century Gothic" w:cs="Arial"/>
          <w:color w:val="262626" w:themeColor="text1" w:themeTint="D9"/>
          <w:kern w:val="28"/>
          <w:sz w:val="21"/>
          <w:szCs w:val="21"/>
        </w:rPr>
        <w:t xml:space="preserve"> Chiesa Carmen e Dolmenes </w:t>
      </w:r>
    </w:p>
    <w:p w14:paraId="5613A36F"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 xml:space="preserve">Polizza multirisk : copertura sanitaria fino a Eur 30.000 – bagaglio e contro annullamento viaggio </w:t>
      </w:r>
    </w:p>
    <w:p w14:paraId="4A71B2DD" w14:textId="77777777" w:rsidR="000C1FBC" w:rsidRPr="00711372" w:rsidRDefault="000C1FBC" w:rsidP="00711372">
      <w:pPr>
        <w:pStyle w:val="xmsonormal"/>
        <w:numPr>
          <w:ilvl w:val="0"/>
          <w:numId w:val="23"/>
        </w:numPr>
        <w:shd w:val="clear" w:color="auto" w:fill="FFFFFF" w:themeFill="background1"/>
        <w:spacing w:before="0" w:beforeAutospacing="0" w:after="0" w:afterAutospacing="0" w:line="276" w:lineRule="auto"/>
        <w:jc w:val="both"/>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Mance per autista ed accompagnatore/guida</w:t>
      </w:r>
    </w:p>
    <w:p w14:paraId="06E7A473" w14:textId="77777777" w:rsidR="000C1FBC" w:rsidRPr="00711372" w:rsidRDefault="000C1FBC" w:rsidP="00711372">
      <w:pPr>
        <w:pStyle w:val="xmsonormal"/>
        <w:shd w:val="clear" w:color="auto" w:fill="FFFFFF" w:themeFill="background1"/>
        <w:spacing w:before="0" w:beforeAutospacing="0" w:after="0" w:afterAutospacing="0" w:line="276" w:lineRule="auto"/>
        <w:ind w:left="720"/>
        <w:rPr>
          <w:rFonts w:ascii="Century Gothic" w:hAnsi="Century Gothic" w:cs="Arial"/>
          <w:color w:val="262626" w:themeColor="text1" w:themeTint="D9"/>
          <w:kern w:val="28"/>
          <w:sz w:val="21"/>
          <w:szCs w:val="21"/>
        </w:rPr>
      </w:pPr>
      <w:r w:rsidRPr="00711372">
        <w:rPr>
          <w:rFonts w:ascii="Century Gothic" w:hAnsi="Century Gothic" w:cs="Arial"/>
          <w:color w:val="262626" w:themeColor="text1" w:themeTint="D9"/>
          <w:kern w:val="28"/>
          <w:sz w:val="21"/>
          <w:szCs w:val="21"/>
        </w:rPr>
        <w:t>Materiale di cortesia</w:t>
      </w:r>
    </w:p>
    <w:p w14:paraId="7F9C9349" w14:textId="77777777" w:rsidR="000C1FBC" w:rsidRPr="00711372" w:rsidRDefault="000C1FBC" w:rsidP="00711372">
      <w:pPr>
        <w:pStyle w:val="xmsonormal"/>
        <w:shd w:val="clear" w:color="auto" w:fill="FFFFFF" w:themeFill="background1"/>
        <w:spacing w:before="240" w:beforeAutospacing="0" w:after="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La quota non comprende</w:t>
      </w:r>
    </w:p>
    <w:p w14:paraId="34CB4A9C"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b/>
          <w:bCs/>
          <w:color w:val="FFFFFF" w:themeColor="background1"/>
          <w:sz w:val="21"/>
          <w:szCs w:val="21"/>
          <w:highlight w:val="darkRed"/>
          <w:bdr w:val="none" w:sz="0" w:space="0" w:color="auto" w:frame="1"/>
        </w:rPr>
      </w:pPr>
    </w:p>
    <w:p w14:paraId="75FA1C82" w14:textId="77777777" w:rsidR="000C1FBC" w:rsidRPr="00711372" w:rsidRDefault="000C1FBC" w:rsidP="00711372">
      <w:pPr>
        <w:pStyle w:val="Paragrafoelenco"/>
        <w:numPr>
          <w:ilvl w:val="0"/>
          <w:numId w:val="20"/>
        </w:numPr>
        <w:shd w:val="clear" w:color="auto" w:fill="auto"/>
        <w:tabs>
          <w:tab w:val="clear" w:pos="567"/>
          <w:tab w:val="clear" w:pos="1134"/>
          <w:tab w:val="clear" w:pos="1701"/>
          <w:tab w:val="clear" w:pos="2268"/>
          <w:tab w:val="clear" w:pos="2835"/>
        </w:tabs>
        <w:spacing w:after="0" w:line="276" w:lineRule="auto"/>
        <w:ind w:left="357" w:hanging="357"/>
        <w:rPr>
          <w:color w:val="262626" w:themeColor="text1" w:themeTint="D9"/>
          <w:sz w:val="21"/>
        </w:rPr>
      </w:pPr>
      <w:r w:rsidRPr="00711372">
        <w:rPr>
          <w:color w:val="262626" w:themeColor="text1" w:themeTint="D9"/>
          <w:sz w:val="21"/>
        </w:rPr>
        <w:t>Facchinaggi</w:t>
      </w:r>
    </w:p>
    <w:p w14:paraId="17249F44" w14:textId="77777777" w:rsidR="000C1FBC" w:rsidRPr="00711372" w:rsidRDefault="000C1FBC" w:rsidP="00711372">
      <w:pPr>
        <w:pStyle w:val="Paragrafoelenco"/>
        <w:numPr>
          <w:ilvl w:val="0"/>
          <w:numId w:val="20"/>
        </w:numPr>
        <w:shd w:val="clear" w:color="auto" w:fill="auto"/>
        <w:tabs>
          <w:tab w:val="clear" w:pos="567"/>
          <w:tab w:val="clear" w:pos="1134"/>
          <w:tab w:val="clear" w:pos="1701"/>
          <w:tab w:val="clear" w:pos="2268"/>
          <w:tab w:val="clear" w:pos="2835"/>
        </w:tabs>
        <w:spacing w:after="0" w:line="276" w:lineRule="auto"/>
        <w:ind w:left="357" w:hanging="357"/>
        <w:rPr>
          <w:color w:val="262626" w:themeColor="text1" w:themeTint="D9"/>
          <w:sz w:val="21"/>
        </w:rPr>
      </w:pPr>
      <w:r w:rsidRPr="00711372">
        <w:rPr>
          <w:color w:val="262626" w:themeColor="text1" w:themeTint="D9"/>
          <w:sz w:val="21"/>
        </w:rPr>
        <w:t>Bevande ai pasti</w:t>
      </w:r>
    </w:p>
    <w:p w14:paraId="72FEA6E0" w14:textId="77777777" w:rsidR="000C1FBC" w:rsidRPr="00711372" w:rsidRDefault="000C1FBC" w:rsidP="00711372">
      <w:pPr>
        <w:pStyle w:val="Paragrafoelenco"/>
        <w:numPr>
          <w:ilvl w:val="0"/>
          <w:numId w:val="20"/>
        </w:numPr>
        <w:shd w:val="clear" w:color="auto" w:fill="auto"/>
        <w:tabs>
          <w:tab w:val="clear" w:pos="567"/>
          <w:tab w:val="clear" w:pos="1134"/>
          <w:tab w:val="clear" w:pos="1701"/>
          <w:tab w:val="clear" w:pos="2268"/>
          <w:tab w:val="clear" w:pos="2835"/>
        </w:tabs>
        <w:spacing w:after="0" w:line="276" w:lineRule="auto"/>
        <w:ind w:left="357" w:hanging="357"/>
        <w:rPr>
          <w:color w:val="262626" w:themeColor="text1" w:themeTint="D9"/>
          <w:sz w:val="21"/>
        </w:rPr>
      </w:pPr>
      <w:r w:rsidRPr="00711372">
        <w:rPr>
          <w:color w:val="262626" w:themeColor="text1" w:themeTint="D9"/>
          <w:sz w:val="21"/>
        </w:rPr>
        <w:t>Estensioni assicurative Globy Verde e Globy Rosso per aumento massimale spese sanitarie in loco e ampliamento casistiche di annullamento – preventivo su richiesta.</w:t>
      </w:r>
    </w:p>
    <w:p w14:paraId="604EA96F" w14:textId="77777777" w:rsidR="00711372" w:rsidRDefault="000C1FBC" w:rsidP="00711372">
      <w:pPr>
        <w:pStyle w:val="Paragrafoelenco"/>
        <w:numPr>
          <w:ilvl w:val="0"/>
          <w:numId w:val="20"/>
        </w:numPr>
        <w:shd w:val="clear" w:color="auto" w:fill="auto"/>
        <w:tabs>
          <w:tab w:val="clear" w:pos="567"/>
          <w:tab w:val="clear" w:pos="1134"/>
          <w:tab w:val="clear" w:pos="1701"/>
          <w:tab w:val="clear" w:pos="2268"/>
          <w:tab w:val="clear" w:pos="2835"/>
        </w:tabs>
        <w:spacing w:after="0" w:line="276" w:lineRule="auto"/>
        <w:ind w:left="357" w:hanging="357"/>
        <w:rPr>
          <w:color w:val="262626" w:themeColor="text1" w:themeTint="D9"/>
          <w:sz w:val="21"/>
        </w:rPr>
      </w:pPr>
      <w:r w:rsidRPr="00711372">
        <w:rPr>
          <w:color w:val="262626" w:themeColor="text1" w:themeTint="D9"/>
          <w:sz w:val="21"/>
        </w:rPr>
        <w:t>Extra personali e tutto quanto non indicato in “la quota comprende”.</w:t>
      </w:r>
    </w:p>
    <w:p w14:paraId="096B1E95" w14:textId="4C331F90" w:rsidR="000C1FBC" w:rsidRPr="00711372" w:rsidRDefault="000C1FBC" w:rsidP="00711372">
      <w:pPr>
        <w:pStyle w:val="Paragrafoelenco"/>
        <w:numPr>
          <w:ilvl w:val="0"/>
          <w:numId w:val="20"/>
        </w:numPr>
        <w:shd w:val="clear" w:color="auto" w:fill="auto"/>
        <w:tabs>
          <w:tab w:val="clear" w:pos="567"/>
          <w:tab w:val="clear" w:pos="1134"/>
          <w:tab w:val="clear" w:pos="1701"/>
          <w:tab w:val="clear" w:pos="2268"/>
          <w:tab w:val="clear" w:pos="2835"/>
        </w:tabs>
        <w:spacing w:after="0" w:line="276" w:lineRule="auto"/>
        <w:ind w:left="357" w:hanging="357"/>
        <w:rPr>
          <w:color w:val="262626" w:themeColor="text1" w:themeTint="D9"/>
          <w:sz w:val="21"/>
        </w:rPr>
      </w:pPr>
      <w:r w:rsidRPr="00711372">
        <w:rPr>
          <w:b/>
          <w:bCs/>
          <w:color w:val="005267"/>
          <w:sz w:val="21"/>
          <w:bdr w:val="none" w:sz="0" w:space="0" w:color="auto" w:frame="1"/>
        </w:rPr>
        <w:lastRenderedPageBreak/>
        <w:t>Assicurazione inclusa nella quota di iscrizione:</w:t>
      </w:r>
    </w:p>
    <w:p w14:paraId="2A0B900B" w14:textId="270A5720" w:rsidR="000C1FBC" w:rsidRPr="00711372" w:rsidRDefault="000C1FBC" w:rsidP="00711372">
      <w:pPr>
        <w:pStyle w:val="xmsonormal"/>
        <w:numPr>
          <w:ilvl w:val="0"/>
          <w:numId w:val="21"/>
        </w:numPr>
        <w:spacing w:before="0" w:beforeAutospacing="0" w:after="0" w:afterAutospacing="0" w:line="276" w:lineRule="auto"/>
        <w:ind w:left="360"/>
        <w:rPr>
          <w:rFonts w:ascii="Century Gothic" w:hAnsi="Century Gothic" w:cs="Arial"/>
          <w:color w:val="000000"/>
          <w:sz w:val="21"/>
          <w:szCs w:val="21"/>
          <w:bdr w:val="none" w:sz="0" w:space="0" w:color="auto" w:frame="1"/>
        </w:rPr>
      </w:pPr>
      <w:r w:rsidRPr="00711372">
        <w:rPr>
          <w:rFonts w:ascii="Century Gothic" w:hAnsi="Century Gothic" w:cs="Arial"/>
          <w:b/>
          <w:bCs/>
          <w:color w:val="000000"/>
          <w:sz w:val="21"/>
          <w:szCs w:val="21"/>
          <w:bdr w:val="none" w:sz="0" w:space="0" w:color="auto" w:frame="1"/>
        </w:rPr>
        <w:t>Allianz Multirisk</w:t>
      </w:r>
      <w:r w:rsidRPr="00711372">
        <w:rPr>
          <w:rFonts w:ascii="Century Gothic" w:hAnsi="Century Gothic" w:cs="Arial"/>
          <w:color w:val="000000"/>
          <w:sz w:val="21"/>
          <w:szCs w:val="21"/>
          <w:bdr w:val="none" w:sz="0" w:space="0" w:color="auto" w:frame="1"/>
        </w:rPr>
        <w:t>: include massimale per spese sanitarie in loco fino a 30.000 € per persona in Europa; plafon per smarrimento/danneggiamento bagaglio; annullamento del viaggio per motivi personali e documentabili (attenzione: sono escluse le malattie preesistenti e malattia/decesso di animali domestici).</w:t>
      </w:r>
    </w:p>
    <w:p w14:paraId="52BD24F7" w14:textId="77777777" w:rsidR="000C1FBC" w:rsidRPr="00711372" w:rsidRDefault="000C1FBC" w:rsidP="00711372">
      <w:pPr>
        <w:pStyle w:val="xmsonormal"/>
        <w:spacing w:before="0" w:beforeAutospacing="0" w:after="0" w:afterAutospacing="0" w:line="276" w:lineRule="auto"/>
        <w:ind w:left="360"/>
        <w:rPr>
          <w:rFonts w:ascii="Century Gothic" w:hAnsi="Century Gothic" w:cs="Arial"/>
          <w:color w:val="000000"/>
          <w:sz w:val="21"/>
          <w:szCs w:val="21"/>
          <w:bdr w:val="none" w:sz="0" w:space="0" w:color="auto" w:frame="1"/>
        </w:rPr>
      </w:pPr>
    </w:p>
    <w:p w14:paraId="59DB376F" w14:textId="44C6E429" w:rsidR="000C1FBC" w:rsidRPr="00711372" w:rsidRDefault="000C1FBC" w:rsidP="00711372">
      <w:pPr>
        <w:pStyle w:val="xmsonormal"/>
        <w:spacing w:before="0" w:beforeAutospacing="0" w:after="0" w:afterAutospacing="0" w:line="276" w:lineRule="auto"/>
        <w:ind w:left="360"/>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Assicurazioni integrative facoltative:</w:t>
      </w:r>
    </w:p>
    <w:p w14:paraId="725E49BA" w14:textId="77777777" w:rsidR="000C1FBC" w:rsidRPr="00711372" w:rsidRDefault="000C1FBC" w:rsidP="00711372">
      <w:pPr>
        <w:pStyle w:val="xmsonormal"/>
        <w:numPr>
          <w:ilvl w:val="0"/>
          <w:numId w:val="21"/>
        </w:numPr>
        <w:spacing w:before="0" w:beforeAutospacing="0" w:after="0" w:afterAutospacing="0" w:line="276" w:lineRule="auto"/>
        <w:ind w:left="360"/>
        <w:rPr>
          <w:rFonts w:ascii="Century Gothic" w:hAnsi="Century Gothic" w:cs="Arial"/>
          <w:color w:val="000000"/>
          <w:sz w:val="21"/>
          <w:szCs w:val="21"/>
          <w:bdr w:val="none" w:sz="0" w:space="0" w:color="auto" w:frame="1"/>
        </w:rPr>
      </w:pPr>
      <w:r w:rsidRPr="00711372">
        <w:rPr>
          <w:rFonts w:ascii="Century Gothic" w:hAnsi="Century Gothic" w:cs="Arial"/>
          <w:b/>
          <w:bCs/>
          <w:color w:val="000000"/>
          <w:sz w:val="21"/>
          <w:szCs w:val="21"/>
          <w:bdr w:val="none" w:sz="0" w:space="0" w:color="auto" w:frame="1"/>
        </w:rPr>
        <w:t>Allianz Globy Verde</w:t>
      </w:r>
      <w:r w:rsidRPr="00711372">
        <w:rPr>
          <w:rFonts w:ascii="Century Gothic" w:hAnsi="Century Gothic" w:cs="Arial"/>
          <w:color w:val="000000"/>
          <w:sz w:val="21"/>
          <w:szCs w:val="21"/>
          <w:bdr w:val="none" w:sz="0" w:space="0" w:color="auto" w:frame="1"/>
        </w:rPr>
        <w:t>: include massimale per spese sanitarie in loco fino a 200.000 € per persona; plafon per smarrimento/danneggiamento bagaglio; annullamento del viaggio per motivi personali e documentabili (incluse malattie preesistenti e malattia/decesso di animali domestici).</w:t>
      </w:r>
    </w:p>
    <w:p w14:paraId="263F5231" w14:textId="77777777" w:rsidR="000C1FBC" w:rsidRPr="00711372" w:rsidRDefault="000C1FBC" w:rsidP="00711372">
      <w:pPr>
        <w:pStyle w:val="xmsonormal"/>
        <w:numPr>
          <w:ilvl w:val="0"/>
          <w:numId w:val="21"/>
        </w:numPr>
        <w:spacing w:before="0" w:beforeAutospacing="0" w:after="480" w:afterAutospacing="0" w:line="276" w:lineRule="auto"/>
        <w:ind w:left="354" w:hanging="357"/>
        <w:rPr>
          <w:rFonts w:ascii="Century Gothic" w:hAnsi="Century Gothic" w:cs="Arial"/>
          <w:color w:val="000000"/>
          <w:sz w:val="21"/>
          <w:szCs w:val="21"/>
          <w:bdr w:val="none" w:sz="0" w:space="0" w:color="auto" w:frame="1"/>
        </w:rPr>
      </w:pPr>
      <w:r w:rsidRPr="00711372">
        <w:rPr>
          <w:rFonts w:ascii="Century Gothic" w:hAnsi="Century Gothic" w:cs="Arial"/>
          <w:b/>
          <w:bCs/>
          <w:color w:val="000000"/>
          <w:sz w:val="21"/>
          <w:szCs w:val="21"/>
          <w:bdr w:val="none" w:sz="0" w:space="0" w:color="auto" w:frame="1"/>
        </w:rPr>
        <w:t>Allianz Globy rosso</w:t>
      </w:r>
      <w:r w:rsidRPr="00711372">
        <w:rPr>
          <w:rFonts w:ascii="Century Gothic" w:hAnsi="Century Gothic" w:cs="Arial"/>
          <w:color w:val="000000"/>
          <w:sz w:val="21"/>
          <w:szCs w:val="21"/>
          <w:bdr w:val="none" w:sz="0" w:space="0" w:color="auto" w:frame="1"/>
        </w:rPr>
        <w:t>: include massimale per copertura sanitaria in loco sino a 200.000 € per persona.</w:t>
      </w:r>
    </w:p>
    <w:p w14:paraId="6640F1BF" w14:textId="77777777" w:rsidR="000C1FBC" w:rsidRPr="00711372" w:rsidRDefault="000C1FBC" w:rsidP="00711372">
      <w:pPr>
        <w:shd w:val="clear" w:color="auto" w:fill="BFBFBF" w:themeFill="background1" w:themeFillShade="BF"/>
        <w:spacing w:line="276" w:lineRule="auto"/>
        <w:ind w:right="91"/>
        <w:jc w:val="center"/>
        <w:rPr>
          <w:b/>
          <w:bCs/>
          <w:noProof/>
          <w:color w:val="005267"/>
          <w:sz w:val="21"/>
        </w:rPr>
      </w:pPr>
      <w:r w:rsidRPr="00711372">
        <w:rPr>
          <w:b/>
          <w:bCs/>
          <w:noProof/>
          <w:color w:val="005267"/>
          <w:sz w:val="21"/>
        </w:rPr>
        <w:t>Condizioni di vendita e penali di cancellazione</w:t>
      </w:r>
    </w:p>
    <w:p w14:paraId="64872552"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b/>
          <w:bCs/>
          <w:color w:val="FFFFFF" w:themeColor="background1"/>
          <w:sz w:val="21"/>
          <w:szCs w:val="21"/>
          <w:highlight w:val="darkRed"/>
          <w:bdr w:val="none" w:sz="0" w:space="0" w:color="auto" w:frame="1"/>
        </w:rPr>
      </w:pPr>
    </w:p>
    <w:p w14:paraId="2FAF9B13"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Iscrizioni:</w:t>
      </w:r>
    </w:p>
    <w:p w14:paraId="7EDCEB09"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 xml:space="preserve">Per partecipare a questo viaggio occorre iscriversi presso la Banca Centro Emilia versando un </w:t>
      </w:r>
    </w:p>
    <w:p w14:paraId="7C31AEE1"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color w:val="000000"/>
          <w:kern w:val="28"/>
          <w:sz w:val="21"/>
          <w:szCs w:val="21"/>
        </w:rPr>
      </w:pPr>
    </w:p>
    <w:p w14:paraId="190EDC43"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color w:val="000000"/>
          <w:kern w:val="28"/>
          <w:sz w:val="21"/>
          <w:szCs w:val="21"/>
          <w:highlight w:val="yellow"/>
        </w:rPr>
      </w:pPr>
      <w:r w:rsidRPr="00711372">
        <w:rPr>
          <w:rFonts w:ascii="Century Gothic" w:hAnsi="Century Gothic" w:cs="Arial"/>
          <w:b/>
          <w:bCs/>
          <w:color w:val="000000"/>
          <w:kern w:val="28"/>
          <w:sz w:val="21"/>
          <w:szCs w:val="21"/>
          <w:highlight w:val="yellow"/>
        </w:rPr>
        <w:t xml:space="preserve">Acconto € 650,00 </w:t>
      </w:r>
    </w:p>
    <w:p w14:paraId="6A24A6D1" w14:textId="77777777" w:rsidR="000C1FBC" w:rsidRPr="00711372" w:rsidRDefault="000C1FBC" w:rsidP="00711372">
      <w:pPr>
        <w:pStyle w:val="xmsonormal"/>
        <w:numPr>
          <w:ilvl w:val="0"/>
          <w:numId w:val="22"/>
        </w:numPr>
        <w:shd w:val="clear" w:color="auto" w:fill="FFFFFF" w:themeFill="background1"/>
        <w:spacing w:before="480" w:after="120" w:line="276" w:lineRule="auto"/>
        <w:rPr>
          <w:rFonts w:ascii="Century Gothic" w:hAnsi="Century Gothic" w:cs="Arial"/>
          <w:b/>
          <w:bCs/>
          <w:color w:val="000000"/>
          <w:kern w:val="28"/>
          <w:sz w:val="21"/>
          <w:szCs w:val="21"/>
        </w:rPr>
      </w:pPr>
      <w:r w:rsidRPr="00711372">
        <w:rPr>
          <w:rFonts w:ascii="Century Gothic" w:hAnsi="Century Gothic" w:cs="Arial"/>
          <w:b/>
          <w:bCs/>
          <w:color w:val="000000"/>
          <w:kern w:val="28"/>
          <w:sz w:val="21"/>
          <w:szCs w:val="21"/>
        </w:rPr>
        <w:t>Saldo: 30 gg prima della partenza</w:t>
      </w:r>
    </w:p>
    <w:p w14:paraId="1B208DC6"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b/>
          <w:bCs/>
          <w:color w:val="000000"/>
          <w:kern w:val="28"/>
          <w:sz w:val="21"/>
          <w:szCs w:val="21"/>
        </w:rPr>
      </w:pPr>
      <w:r w:rsidRPr="00711372">
        <w:rPr>
          <w:rFonts w:ascii="Century Gothic" w:hAnsi="Century Gothic" w:cs="Arial"/>
          <w:b/>
          <w:bCs/>
          <w:color w:val="000000"/>
          <w:kern w:val="28"/>
          <w:sz w:val="21"/>
          <w:szCs w:val="21"/>
        </w:rPr>
        <w:t>DA INVIARE A:</w:t>
      </w:r>
    </w:p>
    <w:p w14:paraId="4AEBA358"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b/>
          <w:bCs/>
          <w:color w:val="000000"/>
          <w:kern w:val="28"/>
          <w:sz w:val="21"/>
          <w:szCs w:val="21"/>
        </w:rPr>
      </w:pPr>
    </w:p>
    <w:p w14:paraId="4CE64C92" w14:textId="1F82F989" w:rsidR="000C1FBC" w:rsidRPr="00711372" w:rsidRDefault="000C1FBC" w:rsidP="00711372">
      <w:pPr>
        <w:spacing w:line="276" w:lineRule="auto"/>
        <w:jc w:val="left"/>
        <w:rPr>
          <w:rFonts w:eastAsiaTheme="minorEastAsia"/>
          <w:sz w:val="21"/>
        </w:rPr>
      </w:pPr>
      <w:r w:rsidRPr="00711372">
        <w:rPr>
          <w:rFonts w:eastAsiaTheme="minorEastAsia"/>
          <w:sz w:val="21"/>
        </w:rPr>
        <w:t>IBAN: IT 29 L 0850 9234 0100 1009 3897 98</w:t>
      </w:r>
    </w:p>
    <w:p w14:paraId="3A146291" w14:textId="77777777" w:rsidR="000C1FBC" w:rsidRPr="00711372" w:rsidRDefault="000C1FBC" w:rsidP="00711372">
      <w:pPr>
        <w:spacing w:line="276" w:lineRule="auto"/>
        <w:jc w:val="left"/>
        <w:rPr>
          <w:rFonts w:eastAsiaTheme="minorEastAsia"/>
          <w:sz w:val="21"/>
        </w:rPr>
      </w:pPr>
      <w:r w:rsidRPr="00711372">
        <w:rPr>
          <w:rFonts w:eastAsiaTheme="minorEastAsia"/>
          <w:sz w:val="21"/>
        </w:rPr>
        <w:t>INTESTATARIO: BALBONI ALBA</w:t>
      </w:r>
    </w:p>
    <w:p w14:paraId="5DB8677A" w14:textId="1557FB03" w:rsidR="000C1FBC" w:rsidRPr="00711372" w:rsidRDefault="000C1FBC" w:rsidP="00711372">
      <w:pPr>
        <w:spacing w:line="276" w:lineRule="auto"/>
        <w:jc w:val="left"/>
        <w:rPr>
          <w:b/>
          <w:bCs/>
          <w:sz w:val="21"/>
        </w:rPr>
      </w:pPr>
      <w:r w:rsidRPr="00711372">
        <w:rPr>
          <w:rFonts w:eastAsiaTheme="minorEastAsia"/>
          <w:sz w:val="21"/>
        </w:rPr>
        <w:t>CAUSALE: Nome</w:t>
      </w:r>
      <w:r w:rsidRPr="00711372">
        <w:rPr>
          <w:sz w:val="21"/>
        </w:rPr>
        <w:t xml:space="preserve"> e Cognome del sottoscrittore, n° partecipanti e indicazione </w:t>
      </w:r>
      <w:r w:rsidRPr="00711372">
        <w:rPr>
          <w:b/>
          <w:bCs/>
          <w:sz w:val="21"/>
        </w:rPr>
        <w:t xml:space="preserve">“VIAGGIO TOUR </w:t>
      </w:r>
      <w:r w:rsidRPr="00711372">
        <w:rPr>
          <w:rFonts w:eastAsiaTheme="minorEastAsia"/>
          <w:b/>
          <w:bCs/>
          <w:sz w:val="21"/>
        </w:rPr>
        <w:t>ANDALUSIA</w:t>
      </w:r>
      <w:r w:rsidRPr="00711372">
        <w:rPr>
          <w:b/>
          <w:bCs/>
          <w:sz w:val="21"/>
        </w:rPr>
        <w:t xml:space="preserve">” </w:t>
      </w:r>
    </w:p>
    <w:p w14:paraId="066695A1" w14:textId="77777777" w:rsidR="000C1FBC" w:rsidRPr="00711372" w:rsidRDefault="000C1FBC" w:rsidP="00711372">
      <w:pPr>
        <w:spacing w:line="276" w:lineRule="auto"/>
        <w:rPr>
          <w:b/>
          <w:bCs/>
          <w:sz w:val="21"/>
        </w:rPr>
      </w:pPr>
      <w:r w:rsidRPr="00711372">
        <w:rPr>
          <w:sz w:val="21"/>
        </w:rPr>
        <w:tab/>
      </w:r>
      <w:r w:rsidRPr="00711372">
        <w:rPr>
          <w:sz w:val="21"/>
        </w:rPr>
        <w:tab/>
      </w:r>
    </w:p>
    <w:p w14:paraId="288700F4" w14:textId="77777777"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Penali di cancellazione:</w:t>
      </w:r>
    </w:p>
    <w:p w14:paraId="5E3C64B5" w14:textId="77777777" w:rsidR="000C1FBC" w:rsidRPr="00711372" w:rsidRDefault="000C1FBC" w:rsidP="00711372">
      <w:pPr>
        <w:pStyle w:val="xmsonormal"/>
        <w:shd w:val="clear" w:color="auto" w:fill="FFFFFF" w:themeFill="background1"/>
        <w:spacing w:before="0" w:beforeAutospacing="0" w:after="0" w:afterAutospacing="0" w:line="276" w:lineRule="auto"/>
        <w:jc w:val="both"/>
        <w:rPr>
          <w:rFonts w:ascii="Century Gothic" w:hAnsi="Century Gothic" w:cs="Arial"/>
          <w:color w:val="000000"/>
          <w:kern w:val="28"/>
          <w:sz w:val="21"/>
          <w:szCs w:val="21"/>
        </w:rPr>
      </w:pPr>
      <w:r w:rsidRPr="00711372">
        <w:rPr>
          <w:rFonts w:ascii="Century Gothic" w:hAnsi="Century Gothic" w:cs="Arial"/>
          <w:color w:val="000000"/>
          <w:kern w:val="28"/>
          <w:sz w:val="21"/>
          <w:szCs w:val="21"/>
        </w:rPr>
        <w:t>Se siete costretti a rinunciare al viaggio prenotato, verranno applicate delle penali, proporzionali alla data di cancellazione, con riferimento ai giorni che mancano alla partenza da calendario, contando anche il sabato, la domenica e i festivi. L’assicurazione provvederà al rimborso delle penali applicati, trattenendosi una franchigia del 20%.</w:t>
      </w:r>
    </w:p>
    <w:p w14:paraId="4DF06C50" w14:textId="77777777" w:rsidR="000C1FBC" w:rsidRPr="00711372" w:rsidRDefault="000C1FBC" w:rsidP="00711372">
      <w:pPr>
        <w:pStyle w:val="xmsonormal"/>
        <w:numPr>
          <w:ilvl w:val="0"/>
          <w:numId w:val="24"/>
        </w:numPr>
        <w:shd w:val="clear" w:color="auto" w:fill="FFFFFF" w:themeFill="background1"/>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fino al 31° giorno dalla data di partenza: 30% della quota totale + quota iscrizione</w:t>
      </w:r>
    </w:p>
    <w:p w14:paraId="1B781CDF" w14:textId="77777777" w:rsidR="000C1FBC" w:rsidRPr="00711372" w:rsidRDefault="000C1FBC" w:rsidP="00711372">
      <w:pPr>
        <w:pStyle w:val="xmsonormal"/>
        <w:numPr>
          <w:ilvl w:val="0"/>
          <w:numId w:val="24"/>
        </w:numPr>
        <w:shd w:val="clear" w:color="auto" w:fill="FFFFFF" w:themeFill="background1"/>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dal 30° al 21° giorno: 40% della quota totale + quota iscrizione</w:t>
      </w:r>
    </w:p>
    <w:p w14:paraId="69F84863" w14:textId="77777777" w:rsidR="000C1FBC" w:rsidRPr="00711372" w:rsidRDefault="000C1FBC" w:rsidP="00711372">
      <w:pPr>
        <w:pStyle w:val="xmsonormal"/>
        <w:numPr>
          <w:ilvl w:val="0"/>
          <w:numId w:val="24"/>
        </w:numPr>
        <w:shd w:val="clear" w:color="auto" w:fill="FFFFFF" w:themeFill="background1"/>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dal 20° al 10° giorno: 60% della quota totale + quota iscrizione</w:t>
      </w:r>
    </w:p>
    <w:p w14:paraId="74FDF2B3" w14:textId="77777777" w:rsidR="000C1FBC" w:rsidRPr="00711372" w:rsidRDefault="000C1FBC" w:rsidP="00711372">
      <w:pPr>
        <w:pStyle w:val="xmsonormal"/>
        <w:numPr>
          <w:ilvl w:val="0"/>
          <w:numId w:val="24"/>
        </w:numPr>
        <w:shd w:val="clear" w:color="auto" w:fill="FFFFFF" w:themeFill="background1"/>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dal 9° giorno al 3° giorno: 75% della quota totale + quota iscrizione</w:t>
      </w:r>
    </w:p>
    <w:p w14:paraId="4D54BD14" w14:textId="77777777" w:rsidR="000C1FBC" w:rsidRPr="00711372" w:rsidRDefault="000C1FBC" w:rsidP="00711372">
      <w:pPr>
        <w:pStyle w:val="xmsonormal"/>
        <w:numPr>
          <w:ilvl w:val="0"/>
          <w:numId w:val="24"/>
        </w:numPr>
        <w:shd w:val="clear" w:color="auto" w:fill="FFFFFF" w:themeFill="background1"/>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lastRenderedPageBreak/>
        <w:t>Nessun rimborso per cancellazioni effettuate a partire da 48 ore prima della partenza.</w:t>
      </w:r>
    </w:p>
    <w:p w14:paraId="46E69270"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In caso di sinistro, la cancellazione deve pervenire all’ Agenzia Fratesole tassativamente in forma scritta non oltre 24 ore dopo l’accadimento, ed entro le ore 18 del giorno in cui si comunica la cancellazione. Non saranno accettate comunicazioni verbali e/o telefoniche.</w:t>
      </w:r>
    </w:p>
    <w:p w14:paraId="168CBB4A" w14:textId="4391106E"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b/>
          <w:bCs/>
          <w:color w:val="000000"/>
          <w:kern w:val="28"/>
          <w:sz w:val="21"/>
          <w:szCs w:val="21"/>
        </w:rPr>
      </w:pPr>
      <w:r w:rsidRPr="00711372">
        <w:rPr>
          <w:rFonts w:ascii="Century Gothic" w:hAnsi="Century Gothic" w:cs="Arial"/>
          <w:b/>
          <w:bCs/>
          <w:color w:val="000000"/>
          <w:kern w:val="28"/>
          <w:sz w:val="21"/>
          <w:szCs w:val="21"/>
        </w:rPr>
        <w:t>Per motivi di privacy, è cura del viaggiare attivare l'assicurazione in caso di sinistro/impossibilità a partire, seguendo le istruzioni reperibili sulla polizza.</w:t>
      </w:r>
    </w:p>
    <w:p w14:paraId="2FF9CF3D"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color w:val="000000"/>
          <w:kern w:val="28"/>
          <w:sz w:val="21"/>
          <w:szCs w:val="21"/>
        </w:rPr>
      </w:pPr>
    </w:p>
    <w:p w14:paraId="1D902A55" w14:textId="77777777" w:rsidR="000C1FBC" w:rsidRPr="00711372" w:rsidRDefault="000C1FBC" w:rsidP="00711372">
      <w:pPr>
        <w:pStyle w:val="xmsonormal"/>
        <w:shd w:val="clear" w:color="auto" w:fill="FFFFFF" w:themeFill="background1"/>
        <w:spacing w:before="0" w:beforeAutospacing="0" w:after="0" w:afterAutospacing="0" w:line="276" w:lineRule="auto"/>
        <w:rPr>
          <w:rFonts w:ascii="Century Gothic" w:hAnsi="Century Gothic" w:cs="Arial"/>
          <w:color w:val="000000"/>
          <w:kern w:val="28"/>
          <w:sz w:val="21"/>
          <w:szCs w:val="21"/>
        </w:rPr>
      </w:pPr>
    </w:p>
    <w:p w14:paraId="3EB4CA2F" w14:textId="77777777" w:rsidR="000C1FBC" w:rsidRPr="00711372" w:rsidRDefault="000C1FBC" w:rsidP="00711372">
      <w:pPr>
        <w:shd w:val="clear" w:color="auto" w:fill="BFBFBF" w:themeFill="background1" w:themeFillShade="BF"/>
        <w:spacing w:line="276" w:lineRule="auto"/>
        <w:ind w:right="91"/>
        <w:jc w:val="center"/>
        <w:rPr>
          <w:b/>
          <w:bCs/>
          <w:noProof/>
          <w:color w:val="005267"/>
          <w:sz w:val="21"/>
        </w:rPr>
      </w:pPr>
      <w:r w:rsidRPr="00711372">
        <w:rPr>
          <w:b/>
          <w:bCs/>
          <w:noProof/>
          <w:color w:val="005267"/>
          <w:sz w:val="21"/>
        </w:rPr>
        <w:t>Informazioni pre-contrattuali</w:t>
      </w:r>
    </w:p>
    <w:p w14:paraId="38BD359B" w14:textId="77777777"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Assistenza FrateSole</w:t>
      </w:r>
    </w:p>
    <w:p w14:paraId="4DBE4E8E" w14:textId="77777777" w:rsidR="000C1FBC" w:rsidRPr="00711372" w:rsidRDefault="000C1FBC" w:rsidP="00711372">
      <w:pPr>
        <w:spacing w:line="276" w:lineRule="auto"/>
        <w:rPr>
          <w:sz w:val="21"/>
        </w:rPr>
      </w:pPr>
      <w:r w:rsidRPr="00711372">
        <w:rPr>
          <w:sz w:val="21"/>
        </w:rPr>
        <w:t xml:space="preserve">L’assistenza è garantita durante tutto il tour dai nostri accompagnatori/guide e/o dal nostro corrispondente locale. </w:t>
      </w:r>
    </w:p>
    <w:p w14:paraId="18D86FDC" w14:textId="77777777" w:rsidR="000C1FBC" w:rsidRPr="00711372" w:rsidRDefault="000C1FBC" w:rsidP="00711372">
      <w:pPr>
        <w:spacing w:line="276" w:lineRule="auto"/>
        <w:rPr>
          <w:b/>
          <w:color w:val="000000"/>
          <w:sz w:val="21"/>
        </w:rPr>
      </w:pPr>
      <w:r w:rsidRPr="00711372">
        <w:rPr>
          <w:b/>
          <w:sz w:val="21"/>
          <w:highlight w:val="yellow"/>
        </w:rPr>
        <w:t>In caso di emergenza in corso di viaggio garantiamo il servizio di assistenza telefonica attiva 24 h. su 24 al numero: 0039 327 1533257.</w:t>
      </w:r>
      <w:r w:rsidRPr="00711372">
        <w:rPr>
          <w:b/>
          <w:sz w:val="21"/>
        </w:rPr>
        <w:t xml:space="preserve"> </w:t>
      </w:r>
    </w:p>
    <w:p w14:paraId="42480F55" w14:textId="77777777"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Documenti</w:t>
      </w:r>
    </w:p>
    <w:p w14:paraId="6181037F" w14:textId="77777777" w:rsidR="000C1FBC" w:rsidRPr="00711372" w:rsidRDefault="000C1FBC" w:rsidP="00711372">
      <w:pPr>
        <w:pStyle w:val="NormaleWeb"/>
        <w:spacing w:before="0" w:beforeAutospacing="0" w:after="0" w:afterAutospacing="0" w:line="276" w:lineRule="auto"/>
        <w:rPr>
          <w:rStyle w:val="Collegamentoipertestuale"/>
          <w:rFonts w:ascii="Century Gothic" w:hAnsi="Century Gothic" w:cs="Arial"/>
          <w:sz w:val="21"/>
          <w:szCs w:val="21"/>
        </w:rPr>
      </w:pPr>
      <w:r w:rsidRPr="00711372">
        <w:rPr>
          <w:rFonts w:ascii="Century Gothic" w:hAnsi="Century Gothic" w:cs="Arial"/>
          <w:color w:val="000000"/>
          <w:kern w:val="28"/>
          <w:sz w:val="21"/>
          <w:szCs w:val="21"/>
        </w:rPr>
        <w:t xml:space="preserve">È necessario avere con se la Carta d’Identità - Per maggiori informazioni consulta il sito </w:t>
      </w:r>
      <w:hyperlink r:id="rId9" w:history="1">
        <w:r w:rsidRPr="00711372">
          <w:rPr>
            <w:rStyle w:val="Collegamentoipertestuale"/>
            <w:rFonts w:ascii="Century Gothic" w:hAnsi="Century Gothic" w:cs="Arial"/>
            <w:sz w:val="21"/>
            <w:szCs w:val="21"/>
          </w:rPr>
          <w:t>www.viaggiaresicuri.it</w:t>
        </w:r>
      </w:hyperlink>
    </w:p>
    <w:p w14:paraId="1E342B5E" w14:textId="77777777" w:rsidR="000C1FBC" w:rsidRPr="00711372" w:rsidRDefault="000C1FBC" w:rsidP="00711372">
      <w:pPr>
        <w:pStyle w:val="NormaleWeb"/>
        <w:spacing w:before="0" w:beforeAutospacing="0" w:after="0" w:afterAutospacing="0" w:line="276" w:lineRule="auto"/>
        <w:rPr>
          <w:rFonts w:ascii="Century Gothic" w:hAnsi="Century Gothic" w:cs="Arial"/>
          <w:color w:val="000000"/>
          <w:kern w:val="28"/>
          <w:sz w:val="21"/>
          <w:szCs w:val="21"/>
        </w:rPr>
      </w:pPr>
    </w:p>
    <w:p w14:paraId="5270724A" w14:textId="77777777"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Normative Sanitarie</w:t>
      </w:r>
    </w:p>
    <w:p w14:paraId="3EDD631D" w14:textId="77777777" w:rsidR="000C1FBC" w:rsidRPr="00711372" w:rsidRDefault="000C1FBC" w:rsidP="00711372">
      <w:pPr>
        <w:pStyle w:val="NormaleWeb"/>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 xml:space="preserve">Dal 1° giugno 2022 non è più richiesto il Green Pass né altra certificazione equivalente per l’ingresso/rientro in Italia dall’estero. </w:t>
      </w:r>
      <w:r w:rsidRPr="00711372">
        <w:rPr>
          <w:rFonts w:ascii="Century Gothic" w:hAnsi="Century Gothic" w:cs="Arial"/>
          <w:b/>
          <w:bCs/>
          <w:color w:val="000000"/>
          <w:kern w:val="28"/>
          <w:sz w:val="21"/>
          <w:szCs w:val="21"/>
        </w:rPr>
        <w:t>Si ricorda ai viaggiatori in procinto di partire per l’estero che i Paesi di destinazione possono cambiare senza preavviso la normativa restrittiva per gli ingressi</w:t>
      </w:r>
      <w:r w:rsidRPr="00711372">
        <w:rPr>
          <w:rFonts w:ascii="Century Gothic" w:hAnsi="Century Gothic" w:cs="Arial"/>
          <w:color w:val="000000"/>
          <w:kern w:val="28"/>
          <w:sz w:val="21"/>
          <w:szCs w:val="21"/>
        </w:rPr>
        <w:t xml:space="preserve"> dall’estero e si raccomanda di consultare gli avvisi in evidenza sul sito della Farnesina: </w:t>
      </w:r>
      <w:hyperlink r:id="rId10" w:history="1">
        <w:r w:rsidRPr="00711372">
          <w:rPr>
            <w:rStyle w:val="Collegamentoipertestuale"/>
            <w:rFonts w:ascii="Century Gothic" w:hAnsi="Century Gothic" w:cs="Arial"/>
            <w:sz w:val="21"/>
            <w:szCs w:val="21"/>
          </w:rPr>
          <w:t>https://www.viaggiaresicuri.it/</w:t>
        </w:r>
      </w:hyperlink>
      <w:r w:rsidRPr="00711372">
        <w:rPr>
          <w:rFonts w:ascii="Century Gothic" w:hAnsi="Century Gothic" w:cs="Arial"/>
          <w:color w:val="000000"/>
          <w:kern w:val="28"/>
          <w:sz w:val="21"/>
          <w:szCs w:val="21"/>
        </w:rPr>
        <w:t xml:space="preserve"> .</w:t>
      </w:r>
    </w:p>
    <w:p w14:paraId="4E302E65" w14:textId="77777777"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Sicurezza</w:t>
      </w:r>
    </w:p>
    <w:p w14:paraId="2970B0E2" w14:textId="77777777" w:rsidR="000C1FBC" w:rsidRPr="00711372" w:rsidRDefault="000C1FBC" w:rsidP="00711372">
      <w:pPr>
        <w:pStyle w:val="NormaleWeb"/>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 xml:space="preserve">Il viaggiatore è invitato a reperire le informazioni di carattere generale presso il Ministero Affari Esteri che indica espressamente se le destinazioni sono o meno assoggettate a formale sconsiglio: </w:t>
      </w:r>
      <w:r w:rsidRPr="00711372">
        <w:rPr>
          <w:rFonts w:ascii="Century Gothic" w:hAnsi="Century Gothic" w:cs="Arial"/>
          <w:b/>
          <w:bCs/>
          <w:color w:val="000000"/>
          <w:kern w:val="28"/>
          <w:sz w:val="21"/>
          <w:szCs w:val="21"/>
        </w:rPr>
        <w:t>la decisione del turista di usufruire del pacchetto all’esito di dette verifiche comporterà l’assunzione consapevole del rischio di viaggio</w:t>
      </w:r>
      <w:r w:rsidRPr="00711372">
        <w:rPr>
          <w:rFonts w:ascii="Century Gothic" w:hAnsi="Century Gothic" w:cs="Arial"/>
          <w:color w:val="000000"/>
          <w:kern w:val="28"/>
          <w:sz w:val="21"/>
          <w:szCs w:val="21"/>
        </w:rPr>
        <w:t>, anche ai fini dell’esonero di responsabilità dell’agenzia di cui all’art. 46 del Codice del Turismo.</w:t>
      </w:r>
    </w:p>
    <w:p w14:paraId="633E9FEC" w14:textId="77777777"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Quote</w:t>
      </w:r>
    </w:p>
    <w:p w14:paraId="748A080F" w14:textId="77777777" w:rsidR="000C1FBC" w:rsidRPr="00711372" w:rsidRDefault="000C1FBC" w:rsidP="00711372">
      <w:pPr>
        <w:pStyle w:val="NormaleWeb"/>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Le quote di partecipazione sono espresse in euro, calcolate in base al cambio euro/dollaro in vigore al momento della proposta, si intendono sempre per persona in camera doppia e comprendono quanto indicato alla voce “la quota comprende”.</w:t>
      </w:r>
    </w:p>
    <w:p w14:paraId="4B35E63C" w14:textId="77777777" w:rsidR="00711372" w:rsidRDefault="00711372"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p>
    <w:p w14:paraId="6E6413CB" w14:textId="305BC233"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lastRenderedPageBreak/>
        <w:t>Adeguamenti</w:t>
      </w:r>
    </w:p>
    <w:p w14:paraId="105845C4" w14:textId="77777777" w:rsidR="000C1FBC" w:rsidRPr="00711372" w:rsidRDefault="000C1FBC" w:rsidP="00711372">
      <w:pPr>
        <w:pStyle w:val="NormaleWeb"/>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b/>
          <w:bCs/>
          <w:color w:val="000000"/>
          <w:kern w:val="28"/>
          <w:sz w:val="21"/>
          <w:szCs w:val="21"/>
        </w:rPr>
        <w:t>Il prezzo del viaggio può essere aumentato se aumentano i seguenti costi specifici</w:t>
      </w:r>
      <w:r w:rsidRPr="00711372">
        <w:rPr>
          <w:rFonts w:ascii="Century Gothic" w:hAnsi="Century Gothic" w:cs="Arial"/>
          <w:color w:val="000000"/>
          <w:kern w:val="28"/>
          <w:sz w:val="21"/>
          <w:szCs w:val="21"/>
        </w:rPr>
        <w:t>: costo del carburante, tasse aeroportuali, oscillazioni valutarie. Le eventuali variazioni non potranno superare l’8% della quota di partecipazione e dovranno essere notificate entro e non oltre 21 giorni dalla partenza. Oltre tale percentuale il viaggiatore può risolvere il contratto.</w:t>
      </w:r>
    </w:p>
    <w:p w14:paraId="25791CCA" w14:textId="77777777"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Numero minimo di partecipanti</w:t>
      </w:r>
    </w:p>
    <w:p w14:paraId="325227C8" w14:textId="77777777" w:rsidR="000C1FBC" w:rsidRPr="00711372" w:rsidRDefault="000C1FBC" w:rsidP="00711372">
      <w:pPr>
        <w:pStyle w:val="NormaleWeb"/>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b/>
          <w:bCs/>
          <w:color w:val="000000"/>
          <w:kern w:val="28"/>
          <w:sz w:val="21"/>
          <w:szCs w:val="21"/>
        </w:rPr>
        <w:t xml:space="preserve">Trattandosi di un viaggio di gruppo l’effettuazione è soggetta al raggiungimento di un minimo di partecipanti (45); </w:t>
      </w:r>
      <w:r w:rsidRPr="00711372">
        <w:rPr>
          <w:rFonts w:ascii="Century Gothic" w:hAnsi="Century Gothic" w:cs="Arial"/>
          <w:color w:val="000000"/>
          <w:kern w:val="28"/>
          <w:sz w:val="21"/>
          <w:szCs w:val="21"/>
        </w:rPr>
        <w:t>se non sarà raggiunto tale minimo, entro 21 giorni prima della partenza verrà proposta la revisione della quota di partecipazione con libera accettazione o l’annullamento del viaggio da parte dell’organizzatore.</w:t>
      </w:r>
    </w:p>
    <w:p w14:paraId="14CCF88E" w14:textId="77777777"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Assicurazioni Allianz</w:t>
      </w:r>
    </w:p>
    <w:p w14:paraId="16680B59" w14:textId="77777777" w:rsidR="000C1FBC" w:rsidRPr="00711372" w:rsidRDefault="000C1FBC" w:rsidP="00711372">
      <w:pPr>
        <w:pStyle w:val="NormaleWeb"/>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b/>
          <w:bCs/>
          <w:color w:val="000000"/>
          <w:kern w:val="28"/>
          <w:sz w:val="21"/>
          <w:szCs w:val="21"/>
        </w:rPr>
        <w:t>La quota di iscrizione include Assicurazione Allianz Multirisk</w:t>
      </w:r>
      <w:r w:rsidRPr="00711372">
        <w:rPr>
          <w:rFonts w:ascii="Century Gothic" w:hAnsi="Century Gothic" w:cs="Arial"/>
          <w:color w:val="000000"/>
          <w:kern w:val="28"/>
          <w:sz w:val="21"/>
          <w:szCs w:val="21"/>
        </w:rPr>
        <w:t xml:space="preserve"> con una copertura di 30.000 € per spese mediche, 500 € per il bagaglio, 100 € per spese di prima necessità. L’assicurazione include anche la copertura delle penali di annullamento per ragioni documentabili, tra le quali Covid-19 e quarantena. Sono assicurabili solo cittadini italiani o di diversa nazionalità purché residenti in Italia e in possesso del codice fiscale italiano. In caso di problemi di salute è necessario: avvisare tempestiva-mente la Centrale Operativa (trovate il numero nei documenti di viaggio), che si prenderà carico del sinistro; farsi sempre rilasciare certificati medici/ricevute delle prestazioni ricevute per successive richieste di rimborso.</w:t>
      </w:r>
    </w:p>
    <w:p w14:paraId="30880BCE" w14:textId="77777777" w:rsidR="000C1FBC" w:rsidRPr="00711372" w:rsidRDefault="000C1FBC" w:rsidP="00711372">
      <w:pPr>
        <w:pStyle w:val="xmsonormal"/>
        <w:shd w:val="clear" w:color="auto" w:fill="FFFFFF" w:themeFill="background1"/>
        <w:spacing w:before="240" w:beforeAutospacing="0" w:after="120" w:afterAutospacing="0" w:line="276" w:lineRule="auto"/>
        <w:rPr>
          <w:rFonts w:ascii="Century Gothic" w:hAnsi="Century Gothic" w:cs="Arial"/>
          <w:b/>
          <w:bCs/>
          <w:color w:val="005267"/>
          <w:sz w:val="21"/>
          <w:szCs w:val="21"/>
          <w:bdr w:val="none" w:sz="0" w:space="0" w:color="auto" w:frame="1"/>
        </w:rPr>
      </w:pPr>
      <w:r w:rsidRPr="00711372">
        <w:rPr>
          <w:rFonts w:ascii="Century Gothic" w:hAnsi="Century Gothic" w:cs="Arial"/>
          <w:b/>
          <w:bCs/>
          <w:color w:val="005267"/>
          <w:sz w:val="21"/>
          <w:szCs w:val="21"/>
          <w:bdr w:val="none" w:sz="0" w:space="0" w:color="auto" w:frame="1"/>
        </w:rPr>
        <w:t>Organizzazione tecnica</w:t>
      </w:r>
    </w:p>
    <w:p w14:paraId="6E39B9B2" w14:textId="77777777" w:rsidR="000C1FBC" w:rsidRPr="00711372" w:rsidRDefault="000C1FBC" w:rsidP="00711372">
      <w:pPr>
        <w:pStyle w:val="NormaleWeb"/>
        <w:spacing w:before="0" w:beforeAutospacing="0" w:after="0" w:afterAutospacing="0" w:line="276" w:lineRule="auto"/>
        <w:rPr>
          <w:rFonts w:ascii="Century Gothic" w:hAnsi="Century Gothic" w:cs="Arial"/>
          <w:color w:val="000000"/>
          <w:kern w:val="28"/>
          <w:sz w:val="21"/>
          <w:szCs w:val="21"/>
        </w:rPr>
      </w:pPr>
      <w:r w:rsidRPr="00711372">
        <w:rPr>
          <w:rFonts w:ascii="Century Gothic" w:hAnsi="Century Gothic" w:cs="Arial"/>
          <w:color w:val="000000"/>
          <w:kern w:val="28"/>
          <w:sz w:val="21"/>
          <w:szCs w:val="21"/>
        </w:rPr>
        <w:t>Il viaggio è organizzato da FrateSole Viaggeria Francescana, attività della Provincia di Sant’Antonio dei Frati Minori del Nord Italia, con sede legale a Bologna in via Massimo d’Azeglio 92/d, tel. 051/64.40.168, e con una filiale a Roma in via Francesco Berni 6, 06/77.20.6308. Licenza 393 rilasciata dalla Provincia di Bologna; RC Allianz n. 114099581; Assicurazione Fallimento Cattolica Industrial Line n.0009423300033.</w:t>
      </w:r>
    </w:p>
    <w:p w14:paraId="3795D607" w14:textId="77777777" w:rsidR="000C1FBC" w:rsidRPr="00711372" w:rsidRDefault="000C1FBC" w:rsidP="00711372">
      <w:pPr>
        <w:spacing w:line="276" w:lineRule="auto"/>
        <w:rPr>
          <w:b/>
          <w:color w:val="262626" w:themeColor="text1" w:themeTint="D9"/>
          <w:sz w:val="21"/>
        </w:rPr>
      </w:pPr>
    </w:p>
    <w:p w14:paraId="0A40A7D5" w14:textId="77777777" w:rsidR="000C1FBC" w:rsidRPr="00711372" w:rsidRDefault="000C1FBC" w:rsidP="00711372">
      <w:pPr>
        <w:spacing w:line="276" w:lineRule="auto"/>
        <w:rPr>
          <w:sz w:val="21"/>
        </w:rPr>
      </w:pPr>
    </w:p>
    <w:p w14:paraId="5DD8AB0A" w14:textId="401B565F" w:rsidR="00A86D47" w:rsidRPr="00711372" w:rsidRDefault="00A86D47" w:rsidP="00711372">
      <w:pPr>
        <w:tabs>
          <w:tab w:val="clear" w:pos="567"/>
          <w:tab w:val="clear" w:pos="1134"/>
          <w:tab w:val="clear" w:pos="1701"/>
          <w:tab w:val="clear" w:pos="2268"/>
          <w:tab w:val="clear" w:pos="2835"/>
          <w:tab w:val="left" w:pos="708"/>
        </w:tabs>
        <w:spacing w:line="276" w:lineRule="auto"/>
        <w:rPr>
          <w:rFonts w:eastAsiaTheme="minorEastAsia"/>
          <w:sz w:val="21"/>
          <w:lang w:val="it-IT"/>
        </w:rPr>
      </w:pPr>
    </w:p>
    <w:p w14:paraId="73CD467C" w14:textId="77777777" w:rsidR="00711372" w:rsidRPr="00711372" w:rsidRDefault="00711372" w:rsidP="00711372">
      <w:pPr>
        <w:tabs>
          <w:tab w:val="clear" w:pos="567"/>
          <w:tab w:val="clear" w:pos="1134"/>
          <w:tab w:val="clear" w:pos="1701"/>
          <w:tab w:val="clear" w:pos="2268"/>
          <w:tab w:val="clear" w:pos="2835"/>
          <w:tab w:val="left" w:pos="708"/>
        </w:tabs>
        <w:spacing w:line="276" w:lineRule="auto"/>
        <w:rPr>
          <w:rFonts w:eastAsiaTheme="minorEastAsia"/>
          <w:sz w:val="21"/>
          <w:lang w:val="it-IT"/>
        </w:rPr>
      </w:pPr>
    </w:p>
    <w:sectPr w:rsidR="00711372" w:rsidRPr="00711372" w:rsidSect="00041A14">
      <w:headerReference w:type="even" r:id="rId11"/>
      <w:headerReference w:type="default" r:id="rId12"/>
      <w:footerReference w:type="even" r:id="rId13"/>
      <w:footerReference w:type="default" r:id="rId14"/>
      <w:headerReference w:type="first" r:id="rId15"/>
      <w:footerReference w:type="first" r:id="rId16"/>
      <w:pgSz w:w="11906" w:h="16838"/>
      <w:pgMar w:top="1121" w:right="708" w:bottom="1559" w:left="708" w:header="283"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6A6B" w14:textId="77777777" w:rsidR="002A2A3A" w:rsidRDefault="002A2A3A" w:rsidP="00683DF5">
      <w:r>
        <w:separator/>
      </w:r>
    </w:p>
  </w:endnote>
  <w:endnote w:type="continuationSeparator" w:id="0">
    <w:p w14:paraId="37055E2C" w14:textId="77777777" w:rsidR="002A2A3A" w:rsidRDefault="002A2A3A"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3231" w14:textId="77777777" w:rsidR="00FE6C01" w:rsidRDefault="00FE6C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2269" w14:textId="77777777" w:rsidR="00A86D47" w:rsidRPr="00A86D47" w:rsidRDefault="00A86D47" w:rsidP="00AC2304">
    <w:pPr>
      <w:pStyle w:val="Pidipagina"/>
      <w:jc w:val="left"/>
      <w:rPr>
        <w:b/>
        <w:caps/>
        <w:color w:val="004F60"/>
        <w:sz w:val="14"/>
        <w:szCs w:val="14"/>
        <w:lang w:val="it-IT"/>
      </w:rPr>
    </w:pPr>
    <w:r w:rsidRPr="0011415B">
      <w:rPr>
        <w:rStyle w:val="Titolodellibro"/>
        <w:rFonts w:cs="Tahoma"/>
        <w:sz w:val="14"/>
        <w:szCs w:val="14"/>
        <w:lang w:val="it-IT"/>
      </w:rPr>
      <w:t xml:space="preserve">CLASSIFICAZIONE: </w:t>
    </w:r>
    <w:r w:rsidR="00FE6C01" w:rsidRPr="0011415B">
      <w:rPr>
        <w:rStyle w:val="Titolodellibro"/>
        <w:rFonts w:cs="Tahoma"/>
        <w:sz w:val="14"/>
        <w:szCs w:val="14"/>
        <w:lang w:val="it-IT"/>
      </w:rPr>
      <w:t>INTERNO</w:t>
    </w:r>
  </w:p>
  <w:p w14:paraId="27F2F60E" w14:textId="77777777" w:rsidR="00A86D47" w:rsidRDefault="00A86D47" w:rsidP="00AC2304">
    <w:pPr>
      <w:pStyle w:val="Pidipagina"/>
      <w:jc w:val="left"/>
      <w:rPr>
        <w:b/>
        <w:caps/>
        <w:color w:val="004F60"/>
        <w:sz w:val="11"/>
        <w:szCs w:val="11"/>
        <w:lang w:val="it-IT"/>
      </w:rPr>
    </w:pPr>
  </w:p>
  <w:p w14:paraId="2ED63DBF" w14:textId="77777777" w:rsidR="00AC2304" w:rsidRDefault="003D5B55" w:rsidP="00AC2304">
    <w:pPr>
      <w:pStyle w:val="Pidipagina"/>
      <w:jc w:val="left"/>
      <w:rPr>
        <w:b/>
        <w:caps/>
        <w:color w:val="004F60"/>
        <w:sz w:val="11"/>
        <w:szCs w:val="11"/>
        <w:lang w:val="it-IT"/>
      </w:rPr>
    </w:pPr>
    <w:r w:rsidRPr="00C83361">
      <w:rPr>
        <w:b/>
        <w:caps/>
        <w:color w:val="004F60"/>
        <w:sz w:val="11"/>
        <w:szCs w:val="11"/>
        <w:lang w:val="it-IT"/>
      </w:rPr>
      <w:t>Banca centro emilia</w:t>
    </w:r>
  </w:p>
  <w:p w14:paraId="2AD64B6F" w14:textId="77777777" w:rsidR="00FB521C" w:rsidRPr="00C83361" w:rsidRDefault="00FB521C" w:rsidP="00FB521C">
    <w:pPr>
      <w:pStyle w:val="Pidipagina"/>
      <w:jc w:val="left"/>
      <w:rPr>
        <w:sz w:val="11"/>
        <w:szCs w:val="11"/>
        <w:lang w:val="it-IT"/>
      </w:rPr>
    </w:pPr>
    <w:r w:rsidRPr="00C83361">
      <w:rPr>
        <w:sz w:val="11"/>
        <w:szCs w:val="11"/>
        <w:lang w:val="it-IT"/>
      </w:rPr>
      <w:t xml:space="preserve">Capitale sociale al </w:t>
    </w:r>
    <w:bookmarkStart w:id="3" w:name="_Hlk123632583"/>
    <w:r w:rsidRPr="00C83361">
      <w:rPr>
        <w:sz w:val="11"/>
        <w:szCs w:val="11"/>
        <w:lang w:val="it-IT"/>
      </w:rPr>
      <w:t>31.12.20</w:t>
    </w:r>
    <w:r>
      <w:rPr>
        <w:sz w:val="11"/>
        <w:szCs w:val="11"/>
        <w:lang w:val="it-IT"/>
      </w:rPr>
      <w:t xml:space="preserve">22 Euro </w:t>
    </w:r>
    <w:bookmarkEnd w:id="3"/>
    <w:r w:rsidRPr="00F02734">
      <w:rPr>
        <w:sz w:val="11"/>
        <w:szCs w:val="11"/>
        <w:lang w:val="it-IT"/>
      </w:rPr>
      <w:t>41.023.538,96</w:t>
    </w:r>
  </w:p>
  <w:p w14:paraId="11422BF3" w14:textId="463B1F4C" w:rsidR="00A86D47" w:rsidRDefault="00726EA6" w:rsidP="00AC6884">
    <w:pPr>
      <w:pStyle w:val="Pidipagina"/>
      <w:jc w:val="left"/>
      <w:rPr>
        <w:sz w:val="11"/>
        <w:szCs w:val="11"/>
        <w:lang w:val="it-IT"/>
      </w:rPr>
    </w:pPr>
    <w:r w:rsidRPr="00726EA6">
      <w:rPr>
        <w:sz w:val="11"/>
        <w:szCs w:val="11"/>
        <w:lang w:val="it-IT"/>
      </w:rPr>
      <w:t>Codice ABI: 085</w:t>
    </w:r>
    <w:r w:rsidR="00B361B9" w:rsidRPr="00726EA6">
      <w:rPr>
        <w:sz w:val="11"/>
        <w:szCs w:val="11"/>
        <w:lang w:val="it-IT"/>
      </w:rPr>
      <w:t>09.2</w:t>
    </w:r>
    <w:r w:rsidR="00B361B9">
      <w:rPr>
        <w:sz w:val="11"/>
        <w:szCs w:val="11"/>
        <w:lang w:val="it-IT"/>
      </w:rPr>
      <w:br/>
    </w:r>
    <w:r w:rsidR="00B361B9" w:rsidRPr="00B361B9">
      <w:rPr>
        <w:sz w:val="11"/>
        <w:szCs w:val="11"/>
        <w:lang w:val="it-IT"/>
      </w:rPr>
      <w:t>Iscrizione all’Albo delle banche presso la Banca d’Italia n.5352</w:t>
    </w:r>
    <w:r w:rsidR="00B361B9">
      <w:rPr>
        <w:sz w:val="11"/>
        <w:szCs w:val="11"/>
        <w:lang w:val="it-IT"/>
      </w:rPr>
      <w:br/>
    </w:r>
    <w:r w:rsidR="00B361B9" w:rsidRPr="00B361B9">
      <w:rPr>
        <w:sz w:val="11"/>
        <w:szCs w:val="11"/>
        <w:lang w:val="it-IT"/>
      </w:rPr>
      <w:t>Iscrizione all’Albo Cooperative n. A112765 - Codice REA (repertorio codice amministrativo) 164811</w:t>
    </w:r>
    <w:r w:rsidR="00B361B9">
      <w:rPr>
        <w:sz w:val="11"/>
        <w:szCs w:val="11"/>
        <w:lang w:val="it-IT"/>
      </w:rPr>
      <w:br/>
    </w:r>
    <w:r w:rsidR="00B361B9" w:rsidRPr="00B361B9">
      <w:rPr>
        <w:sz w:val="11"/>
        <w:szCs w:val="11"/>
        <w:lang w:val="it-IT"/>
      </w:rPr>
      <w:t>Società partecipante al Gruppo IVA Cassa Centrale Banca – P.IVA 02529020220</w:t>
    </w:r>
    <w:r w:rsidR="00B361B9">
      <w:rPr>
        <w:sz w:val="11"/>
        <w:szCs w:val="11"/>
        <w:lang w:val="it-IT"/>
      </w:rPr>
      <w:t xml:space="preserve">    </w:t>
    </w:r>
    <w:r w:rsidR="00B361B9" w:rsidRPr="00B361B9">
      <w:rPr>
        <w:sz w:val="11"/>
        <w:szCs w:val="11"/>
        <w:lang w:val="it-IT"/>
      </w:rPr>
      <w:t>Codice Fiscale 01402600389</w:t>
    </w:r>
    <w:r w:rsidR="00B361B9">
      <w:rPr>
        <w:sz w:val="11"/>
        <w:szCs w:val="11"/>
        <w:lang w:val="it-IT"/>
      </w:rPr>
      <w:br/>
    </w:r>
    <w:r w:rsidR="00B361B9" w:rsidRPr="00B361B9">
      <w:rPr>
        <w:sz w:val="11"/>
        <w:szCs w:val="11"/>
        <w:lang w:val="it-IT"/>
      </w:rPr>
      <w:t>Aderente al Gruppo Bancario Cooperativo Cassa Centrale Banca, iscritto all’Albo dei Gruppi Bancari Soggetta all’attività di direzione e coordinamento della Capogruppo Cassa Centrale Banca – Credito</w:t>
    </w:r>
    <w:r w:rsidR="00B361B9">
      <w:rPr>
        <w:sz w:val="11"/>
        <w:szCs w:val="11"/>
        <w:lang w:val="it-IT"/>
      </w:rPr>
      <w:t xml:space="preserve"> </w:t>
    </w:r>
    <w:r w:rsidR="00B361B9" w:rsidRPr="00B361B9">
      <w:rPr>
        <w:sz w:val="11"/>
        <w:szCs w:val="11"/>
        <w:lang w:val="it-IT"/>
      </w:rPr>
      <w:t>Cooperativo Italiano S.p.A</w:t>
    </w:r>
    <w:r w:rsidR="00B361B9">
      <w:rPr>
        <w:sz w:val="11"/>
        <w:szCs w:val="11"/>
        <w:lang w:val="it-IT"/>
      </w:rPr>
      <w:t xml:space="preserve"> </w:t>
    </w:r>
    <w:r w:rsidR="00B361B9">
      <w:rPr>
        <w:sz w:val="11"/>
        <w:szCs w:val="11"/>
        <w:lang w:val="it-IT"/>
      </w:rPr>
      <w:br/>
    </w:r>
    <w:r w:rsidR="00B361B9" w:rsidRPr="00B361B9">
      <w:rPr>
        <w:sz w:val="11"/>
        <w:szCs w:val="11"/>
        <w:lang w:val="it-IT"/>
      </w:rPr>
      <w:t xml:space="preserve">Banca aderente al Fondo di Garanzia dei Depositanti del Credito Cooperativo </w:t>
    </w:r>
  </w:p>
  <w:p w14:paraId="329CC466" w14:textId="77777777" w:rsidR="00C83361" w:rsidRPr="00B361B9" w:rsidRDefault="00C83361" w:rsidP="00944DAA">
    <w:pPr>
      <w:shd w:val="clear" w:color="auto" w:fill="auto"/>
      <w:spacing w:after="160" w:line="240" w:lineRule="auto"/>
      <w:jc w:val="left"/>
      <w:rPr>
        <w:sz w:val="11"/>
        <w:szCs w:val="11"/>
        <w:lang w:val="it-IT"/>
      </w:rPr>
    </w:pPr>
    <w:r>
      <w:rPr>
        <w:b/>
        <w:color w:val="004F60"/>
        <w:sz w:val="11"/>
        <w:szCs w:val="11"/>
        <w:lang w:val="it-IT"/>
      </w:rPr>
      <w:t>S</w:t>
    </w:r>
    <w:r w:rsidRPr="00C83361">
      <w:rPr>
        <w:b/>
        <w:color w:val="004F60"/>
        <w:sz w:val="11"/>
        <w:szCs w:val="11"/>
        <w:lang w:val="it-IT"/>
      </w:rPr>
      <w:t xml:space="preserve">ede legale e </w:t>
    </w:r>
    <w:r>
      <w:rPr>
        <w:b/>
        <w:color w:val="004F60"/>
        <w:sz w:val="11"/>
        <w:szCs w:val="11"/>
        <w:lang w:val="it-IT"/>
      </w:rPr>
      <w:t>Direzione Generale</w:t>
    </w:r>
    <w:r w:rsidRPr="00B361B9">
      <w:rPr>
        <w:sz w:val="11"/>
        <w:szCs w:val="11"/>
        <w:lang w:val="it-IT"/>
      </w:rPr>
      <w:t>: Via Statale, 39 - 44042 Corporeno (FE</w:t>
    </w:r>
    <w:r>
      <w:rPr>
        <w:sz w:val="11"/>
        <w:szCs w:val="11"/>
        <w:lang w:val="it-IT"/>
      </w:rPr>
      <w:t xml:space="preserve">) </w:t>
    </w:r>
    <w:r w:rsidRPr="00B361B9">
      <w:rPr>
        <w:sz w:val="11"/>
        <w:szCs w:val="11"/>
        <w:lang w:val="it-IT"/>
      </w:rPr>
      <w:t>Tel. 051.972711 - Fax 051.972246</w:t>
    </w:r>
    <w:r>
      <w:rPr>
        <w:sz w:val="11"/>
        <w:szCs w:val="11"/>
        <w:lang w:val="it-IT"/>
      </w:rPr>
      <w:t xml:space="preserve"> </w:t>
    </w:r>
    <w:r w:rsidRPr="00B361B9">
      <w:rPr>
        <w:sz w:val="11"/>
        <w:szCs w:val="11"/>
        <w:lang w:val="it-IT"/>
      </w:rPr>
      <w:t xml:space="preserve">email: email@bancacentroemilia.it </w:t>
    </w:r>
    <w:r>
      <w:rPr>
        <w:sz w:val="11"/>
        <w:szCs w:val="11"/>
        <w:lang w:val="it-IT"/>
      </w:rPr>
      <w:t xml:space="preserve">    </w:t>
    </w:r>
    <w:r w:rsidRPr="00B361B9">
      <w:rPr>
        <w:sz w:val="11"/>
        <w:szCs w:val="11"/>
        <w:lang w:val="it-IT"/>
      </w:rPr>
      <w:t xml:space="preserve"> </w:t>
    </w:r>
    <w:hyperlink r:id="rId1" w:history="1">
      <w:r w:rsidRPr="00300812">
        <w:rPr>
          <w:rStyle w:val="Collegamentoipertestuale"/>
          <w:sz w:val="11"/>
          <w:szCs w:val="11"/>
          <w:lang w:val="it-IT"/>
        </w:rPr>
        <w:t>www.bancacentroemilia.it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DEE7" w14:textId="77777777" w:rsidR="00FE6C01" w:rsidRDefault="00FE6C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988A" w14:textId="77777777" w:rsidR="002A2A3A" w:rsidRDefault="002A2A3A" w:rsidP="00683DF5">
      <w:r>
        <w:separator/>
      </w:r>
    </w:p>
  </w:footnote>
  <w:footnote w:type="continuationSeparator" w:id="0">
    <w:p w14:paraId="33FA8215" w14:textId="77777777" w:rsidR="002A2A3A" w:rsidRDefault="002A2A3A"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D1FF" w14:textId="77777777" w:rsidR="00FE6C01" w:rsidRDefault="00FE6C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5E18" w14:textId="77777777" w:rsidR="0085566F" w:rsidRDefault="00F049FD" w:rsidP="007C159A">
    <w:pPr>
      <w:shd w:val="clear" w:color="auto" w:fill="auto"/>
      <w:ind w:right="1"/>
    </w:pPr>
    <w:r>
      <w:rPr>
        <w:noProof/>
        <w:lang w:val="it-IT"/>
      </w:rPr>
      <w:drawing>
        <wp:anchor distT="0" distB="0" distL="114300" distR="114300" simplePos="0" relativeHeight="251658240" behindDoc="0" locked="0" layoutInCell="1" allowOverlap="1" wp14:anchorId="10CA1E79" wp14:editId="34FFC10E">
          <wp:simplePos x="0" y="0"/>
          <wp:positionH relativeFrom="page">
            <wp:align>left</wp:align>
          </wp:positionH>
          <wp:positionV relativeFrom="paragraph">
            <wp:posOffset>-176530</wp:posOffset>
          </wp:positionV>
          <wp:extent cx="7560000" cy="1003343"/>
          <wp:effectExtent l="0" t="0" r="3175" b="6350"/>
          <wp:wrapTopAndBottom/>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3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6E41" w14:textId="77777777" w:rsidR="00FE6C01" w:rsidRDefault="00FE6C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8B4FF9"/>
    <w:multiLevelType w:val="hybridMultilevel"/>
    <w:tmpl w:val="AEF45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586EAB"/>
    <w:multiLevelType w:val="hybridMultilevel"/>
    <w:tmpl w:val="DBD28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F23A37"/>
    <w:multiLevelType w:val="hybridMultilevel"/>
    <w:tmpl w:val="D24AFB68"/>
    <w:lvl w:ilvl="0" w:tplc="E64C9D0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DF3581"/>
    <w:multiLevelType w:val="hybridMultilevel"/>
    <w:tmpl w:val="376A51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1"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484C5A"/>
    <w:multiLevelType w:val="hybridMultilevel"/>
    <w:tmpl w:val="4282D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48509664">
    <w:abstractNumId w:val="10"/>
  </w:num>
  <w:num w:numId="2" w16cid:durableId="266281213">
    <w:abstractNumId w:val="7"/>
  </w:num>
  <w:num w:numId="3" w16cid:durableId="1907303149">
    <w:abstractNumId w:val="17"/>
  </w:num>
  <w:num w:numId="4" w16cid:durableId="1055860149">
    <w:abstractNumId w:val="11"/>
  </w:num>
  <w:num w:numId="5" w16cid:durableId="232349924">
    <w:abstractNumId w:val="21"/>
  </w:num>
  <w:num w:numId="6" w16cid:durableId="714501049">
    <w:abstractNumId w:val="16"/>
  </w:num>
  <w:num w:numId="7" w16cid:durableId="1765032275">
    <w:abstractNumId w:val="3"/>
  </w:num>
  <w:num w:numId="8" w16cid:durableId="694888320">
    <w:abstractNumId w:val="22"/>
  </w:num>
  <w:num w:numId="9" w16cid:durableId="1503929925">
    <w:abstractNumId w:val="15"/>
  </w:num>
  <w:num w:numId="10" w16cid:durableId="932543680">
    <w:abstractNumId w:val="0"/>
  </w:num>
  <w:num w:numId="11" w16cid:durableId="991523379">
    <w:abstractNumId w:val="18"/>
  </w:num>
  <w:num w:numId="12" w16cid:durableId="1702052493">
    <w:abstractNumId w:val="8"/>
  </w:num>
  <w:num w:numId="13" w16cid:durableId="742920757">
    <w:abstractNumId w:val="1"/>
  </w:num>
  <w:num w:numId="14" w16cid:durableId="142086010">
    <w:abstractNumId w:val="19"/>
  </w:num>
  <w:num w:numId="15" w16cid:durableId="1494905164">
    <w:abstractNumId w:val="14"/>
  </w:num>
  <w:num w:numId="16" w16cid:durableId="1739554059">
    <w:abstractNumId w:val="2"/>
  </w:num>
  <w:num w:numId="17" w16cid:durableId="525756182">
    <w:abstractNumId w:val="23"/>
  </w:num>
  <w:num w:numId="18" w16cid:durableId="308944205">
    <w:abstractNumId w:val="12"/>
  </w:num>
  <w:num w:numId="19" w16cid:durableId="182135673">
    <w:abstractNumId w:val="20"/>
  </w:num>
  <w:num w:numId="20" w16cid:durableId="708996100">
    <w:abstractNumId w:val="9"/>
  </w:num>
  <w:num w:numId="21" w16cid:durableId="460727912">
    <w:abstractNumId w:val="5"/>
  </w:num>
  <w:num w:numId="22" w16cid:durableId="695039401">
    <w:abstractNumId w:val="13"/>
  </w:num>
  <w:num w:numId="23" w16cid:durableId="716247056">
    <w:abstractNumId w:val="6"/>
  </w:num>
  <w:num w:numId="24" w16cid:durableId="1874876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3A"/>
    <w:rsid w:val="00041A14"/>
    <w:rsid w:val="0004688E"/>
    <w:rsid w:val="000651CF"/>
    <w:rsid w:val="00082585"/>
    <w:rsid w:val="0008467A"/>
    <w:rsid w:val="000865B8"/>
    <w:rsid w:val="000A460C"/>
    <w:rsid w:val="000C1FBC"/>
    <w:rsid w:val="000F0855"/>
    <w:rsid w:val="0011415B"/>
    <w:rsid w:val="00130FE3"/>
    <w:rsid w:val="00132363"/>
    <w:rsid w:val="0014540C"/>
    <w:rsid w:val="00156782"/>
    <w:rsid w:val="00166DE2"/>
    <w:rsid w:val="0019614A"/>
    <w:rsid w:val="001C3023"/>
    <w:rsid w:val="001D1DA2"/>
    <w:rsid w:val="001D645C"/>
    <w:rsid w:val="001E3E61"/>
    <w:rsid w:val="001F0142"/>
    <w:rsid w:val="00263A13"/>
    <w:rsid w:val="002835FA"/>
    <w:rsid w:val="00287F74"/>
    <w:rsid w:val="00292EA7"/>
    <w:rsid w:val="002A079E"/>
    <w:rsid w:val="002A2A3A"/>
    <w:rsid w:val="002A7326"/>
    <w:rsid w:val="002B1F54"/>
    <w:rsid w:val="002B7F3E"/>
    <w:rsid w:val="002D6AA3"/>
    <w:rsid w:val="002E73C7"/>
    <w:rsid w:val="002F110F"/>
    <w:rsid w:val="002F3435"/>
    <w:rsid w:val="002F6032"/>
    <w:rsid w:val="002F6529"/>
    <w:rsid w:val="00333A22"/>
    <w:rsid w:val="00366BA2"/>
    <w:rsid w:val="003A320A"/>
    <w:rsid w:val="003D2306"/>
    <w:rsid w:val="003D293F"/>
    <w:rsid w:val="003D5B55"/>
    <w:rsid w:val="003E6043"/>
    <w:rsid w:val="003F00DF"/>
    <w:rsid w:val="00443AAF"/>
    <w:rsid w:val="00447BDB"/>
    <w:rsid w:val="004508A3"/>
    <w:rsid w:val="004708F9"/>
    <w:rsid w:val="00475E33"/>
    <w:rsid w:val="004771A0"/>
    <w:rsid w:val="00485B26"/>
    <w:rsid w:val="00491BEE"/>
    <w:rsid w:val="00494B61"/>
    <w:rsid w:val="004A3C18"/>
    <w:rsid w:val="004B3EF1"/>
    <w:rsid w:val="004B769A"/>
    <w:rsid w:val="004C35F1"/>
    <w:rsid w:val="004C7D2C"/>
    <w:rsid w:val="004D31BF"/>
    <w:rsid w:val="004E14DA"/>
    <w:rsid w:val="0051432B"/>
    <w:rsid w:val="00534DF3"/>
    <w:rsid w:val="005361ED"/>
    <w:rsid w:val="00551770"/>
    <w:rsid w:val="005567BB"/>
    <w:rsid w:val="00584AC1"/>
    <w:rsid w:val="00586FCD"/>
    <w:rsid w:val="0059742E"/>
    <w:rsid w:val="005D1417"/>
    <w:rsid w:val="005F1A4B"/>
    <w:rsid w:val="00613EB5"/>
    <w:rsid w:val="00625F08"/>
    <w:rsid w:val="00632A43"/>
    <w:rsid w:val="00653144"/>
    <w:rsid w:val="0066283A"/>
    <w:rsid w:val="00683DF5"/>
    <w:rsid w:val="006A61C9"/>
    <w:rsid w:val="006A71CD"/>
    <w:rsid w:val="006F4372"/>
    <w:rsid w:val="00701A67"/>
    <w:rsid w:val="00711372"/>
    <w:rsid w:val="00711DCD"/>
    <w:rsid w:val="00723CA1"/>
    <w:rsid w:val="00726EA6"/>
    <w:rsid w:val="007473EE"/>
    <w:rsid w:val="00760DCF"/>
    <w:rsid w:val="00763BA9"/>
    <w:rsid w:val="0076797D"/>
    <w:rsid w:val="00782198"/>
    <w:rsid w:val="007840AB"/>
    <w:rsid w:val="0079148C"/>
    <w:rsid w:val="007B5931"/>
    <w:rsid w:val="007B694E"/>
    <w:rsid w:val="007C159A"/>
    <w:rsid w:val="007C785E"/>
    <w:rsid w:val="007D1B61"/>
    <w:rsid w:val="007F5CE9"/>
    <w:rsid w:val="00803CD5"/>
    <w:rsid w:val="00824C3C"/>
    <w:rsid w:val="008346D5"/>
    <w:rsid w:val="0085566F"/>
    <w:rsid w:val="008637F6"/>
    <w:rsid w:val="00872757"/>
    <w:rsid w:val="008B2F25"/>
    <w:rsid w:val="008C71F2"/>
    <w:rsid w:val="008D50AC"/>
    <w:rsid w:val="008F6296"/>
    <w:rsid w:val="0091221A"/>
    <w:rsid w:val="00944DAA"/>
    <w:rsid w:val="00945C09"/>
    <w:rsid w:val="00977444"/>
    <w:rsid w:val="00982D33"/>
    <w:rsid w:val="009E4EDE"/>
    <w:rsid w:val="009F11B9"/>
    <w:rsid w:val="00A02F19"/>
    <w:rsid w:val="00A40FEA"/>
    <w:rsid w:val="00A45872"/>
    <w:rsid w:val="00A86D47"/>
    <w:rsid w:val="00AC2304"/>
    <w:rsid w:val="00AC6884"/>
    <w:rsid w:val="00AD095F"/>
    <w:rsid w:val="00B02006"/>
    <w:rsid w:val="00B12AF4"/>
    <w:rsid w:val="00B361B9"/>
    <w:rsid w:val="00B42E3B"/>
    <w:rsid w:val="00B52811"/>
    <w:rsid w:val="00B52F02"/>
    <w:rsid w:val="00B7736D"/>
    <w:rsid w:val="00B9106E"/>
    <w:rsid w:val="00BA4652"/>
    <w:rsid w:val="00BB0381"/>
    <w:rsid w:val="00BC103B"/>
    <w:rsid w:val="00BD0C61"/>
    <w:rsid w:val="00BD5FB0"/>
    <w:rsid w:val="00BD6219"/>
    <w:rsid w:val="00BF3010"/>
    <w:rsid w:val="00C569E5"/>
    <w:rsid w:val="00C7663F"/>
    <w:rsid w:val="00C83361"/>
    <w:rsid w:val="00C8720F"/>
    <w:rsid w:val="00C92264"/>
    <w:rsid w:val="00CA0AE4"/>
    <w:rsid w:val="00CF3EE3"/>
    <w:rsid w:val="00D02293"/>
    <w:rsid w:val="00D05BE9"/>
    <w:rsid w:val="00D22DE2"/>
    <w:rsid w:val="00D83DD6"/>
    <w:rsid w:val="00DA6534"/>
    <w:rsid w:val="00DC3890"/>
    <w:rsid w:val="00DC695B"/>
    <w:rsid w:val="00DD3B27"/>
    <w:rsid w:val="00DE122F"/>
    <w:rsid w:val="00E079A1"/>
    <w:rsid w:val="00E448D0"/>
    <w:rsid w:val="00E47280"/>
    <w:rsid w:val="00E507B4"/>
    <w:rsid w:val="00E6338A"/>
    <w:rsid w:val="00EA5AAA"/>
    <w:rsid w:val="00EA79A3"/>
    <w:rsid w:val="00EC5645"/>
    <w:rsid w:val="00EC5D0C"/>
    <w:rsid w:val="00ED6A24"/>
    <w:rsid w:val="00EE52A4"/>
    <w:rsid w:val="00F02DA3"/>
    <w:rsid w:val="00F03F0D"/>
    <w:rsid w:val="00F049FD"/>
    <w:rsid w:val="00F108F7"/>
    <w:rsid w:val="00F15B4D"/>
    <w:rsid w:val="00F22EFA"/>
    <w:rsid w:val="00F23F77"/>
    <w:rsid w:val="00F635D3"/>
    <w:rsid w:val="00F71752"/>
    <w:rsid w:val="00FA6585"/>
    <w:rsid w:val="00FB521C"/>
    <w:rsid w:val="00FE6C01"/>
    <w:rsid w:val="00FF01E0"/>
    <w:rsid w:val="00FF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71AFD4"/>
  <w15:docId w15:val="{A2517A2E-1A6C-482F-B62E-B8ABF1E1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rPr>
      <w:lang w:val="it-IT"/>
    </w:rPr>
  </w:style>
  <w:style w:type="paragraph" w:styleId="NormaleWeb">
    <w:name w:val="Normal (Web)"/>
    <w:basedOn w:val="Normale"/>
    <w:uiPriority w:val="99"/>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iPriority w:val="99"/>
    <w:unhideWhenUsed/>
    <w:rsid w:val="00F03F0D"/>
    <w:rPr>
      <w:color w:val="0000FF" w:themeColor="hyperlink"/>
      <w:u w:val="single"/>
    </w:rPr>
  </w:style>
  <w:style w:type="character" w:customStyle="1" w:styleId="apple-converted-space">
    <w:name w:val="apple-converted-space"/>
    <w:basedOn w:val="Carpredefinitoparagrafo"/>
    <w:rsid w:val="00447BDB"/>
  </w:style>
  <w:style w:type="character" w:customStyle="1" w:styleId="Menzionenonrisolta1">
    <w:name w:val="Menzione non risolta1"/>
    <w:basedOn w:val="Carpredefinitoparagrafo"/>
    <w:uiPriority w:val="99"/>
    <w:semiHidden/>
    <w:unhideWhenUsed/>
    <w:rsid w:val="00C83361"/>
    <w:rPr>
      <w:color w:val="605E5C"/>
      <w:shd w:val="clear" w:color="auto" w:fill="E1DFDD"/>
    </w:rPr>
  </w:style>
  <w:style w:type="character" w:styleId="Collegamentovisitato">
    <w:name w:val="FollowedHyperlink"/>
    <w:basedOn w:val="Carpredefinitoparagrafo"/>
    <w:uiPriority w:val="99"/>
    <w:semiHidden/>
    <w:unhideWhenUsed/>
    <w:rsid w:val="00C83361"/>
    <w:rPr>
      <w:color w:val="800080" w:themeColor="followedHyperlink"/>
      <w:u w:val="single"/>
    </w:rPr>
  </w:style>
  <w:style w:type="character" w:styleId="Titolodellibro">
    <w:name w:val="Book Title"/>
    <w:basedOn w:val="Carpredefinitoparagrafo"/>
    <w:uiPriority w:val="33"/>
    <w:qFormat/>
    <w:rsid w:val="00A86D47"/>
    <w:rPr>
      <w:b/>
      <w:bCs/>
      <w:smallCaps/>
      <w:spacing w:val="5"/>
    </w:rPr>
  </w:style>
  <w:style w:type="table" w:styleId="Grigliatabella">
    <w:name w:val="Table Grid"/>
    <w:basedOn w:val="Tabellanormale"/>
    <w:uiPriority w:val="39"/>
    <w:rsid w:val="000C1F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0C1FBC"/>
    <w:pPr>
      <w:shd w:val="clear" w:color="auto" w:fill="auto"/>
      <w:tabs>
        <w:tab w:val="clear" w:pos="567"/>
        <w:tab w:val="clear" w:pos="1134"/>
        <w:tab w:val="clear" w:pos="1701"/>
        <w:tab w:val="clear" w:pos="2268"/>
        <w:tab w:val="clear" w:pos="2835"/>
      </w:tabs>
      <w:spacing w:after="120" w:line="240" w:lineRule="auto"/>
      <w:jc w:val="left"/>
    </w:pPr>
    <w:rPr>
      <w:rFonts w:ascii="Times New Roman" w:hAnsi="Times New Roman" w:cs="Times New Roman"/>
      <w:color w:val="000000"/>
      <w:kern w:val="28"/>
      <w:sz w:val="24"/>
      <w:szCs w:val="24"/>
      <w:lang w:val="it-IT"/>
    </w:rPr>
  </w:style>
  <w:style w:type="character" w:customStyle="1" w:styleId="CorpotestoCarattere">
    <w:name w:val="Corpo testo Carattere"/>
    <w:basedOn w:val="Carpredefinitoparagrafo"/>
    <w:link w:val="Corpotesto"/>
    <w:uiPriority w:val="99"/>
    <w:rsid w:val="000C1FBC"/>
    <w:rPr>
      <w:rFonts w:ascii="Times New Roman" w:eastAsia="Times New Roman" w:hAnsi="Times New Roman" w:cs="Times New Roman"/>
      <w:color w:val="000000"/>
      <w:kern w:val="28"/>
      <w:sz w:val="24"/>
      <w:szCs w:val="24"/>
    </w:rPr>
  </w:style>
  <w:style w:type="paragraph" w:customStyle="1" w:styleId="xmsonormal">
    <w:name w:val="x_msonormal"/>
    <w:basedOn w:val="Normale"/>
    <w:uiPriority w:val="99"/>
    <w:rsid w:val="000C1FBC"/>
    <w:pPr>
      <w:shd w:val="clear" w:color="auto" w:fill="auto"/>
      <w:tabs>
        <w:tab w:val="clear" w:pos="567"/>
        <w:tab w:val="clear" w:pos="1134"/>
        <w:tab w:val="clear" w:pos="1701"/>
        <w:tab w:val="clear" w:pos="2268"/>
        <w:tab w:val="clear" w:pos="2835"/>
      </w:tabs>
      <w:spacing w:before="100" w:beforeAutospacing="1" w:after="100" w:afterAutospacing="1" w:line="240" w:lineRule="auto"/>
      <w:jc w:val="left"/>
    </w:pPr>
    <w:rPr>
      <w:rFonts w:ascii="Times New Roman" w:hAnsi="Times New Roman" w:cs="Times New Roman"/>
      <w:color w:val="auto"/>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529297393">
      <w:bodyDiv w:val="1"/>
      <w:marLeft w:val="0"/>
      <w:marRight w:val="0"/>
      <w:marTop w:val="0"/>
      <w:marBottom w:val="0"/>
      <w:divBdr>
        <w:top w:val="none" w:sz="0" w:space="0" w:color="auto"/>
        <w:left w:val="none" w:sz="0" w:space="0" w:color="auto"/>
        <w:bottom w:val="none" w:sz="0" w:space="0" w:color="auto"/>
        <w:right w:val="none" w:sz="0" w:space="0" w:color="auto"/>
      </w:divBdr>
    </w:div>
    <w:div w:id="544027858">
      <w:bodyDiv w:val="1"/>
      <w:marLeft w:val="0"/>
      <w:marRight w:val="0"/>
      <w:marTop w:val="0"/>
      <w:marBottom w:val="0"/>
      <w:divBdr>
        <w:top w:val="none" w:sz="0" w:space="0" w:color="auto"/>
        <w:left w:val="none" w:sz="0" w:space="0" w:color="auto"/>
        <w:bottom w:val="none" w:sz="0" w:space="0" w:color="auto"/>
        <w:right w:val="none" w:sz="0" w:space="0" w:color="auto"/>
      </w:divBdr>
    </w:div>
    <w:div w:id="582884289">
      <w:bodyDiv w:val="1"/>
      <w:marLeft w:val="0"/>
      <w:marRight w:val="0"/>
      <w:marTop w:val="0"/>
      <w:marBottom w:val="0"/>
      <w:divBdr>
        <w:top w:val="none" w:sz="0" w:space="0" w:color="auto"/>
        <w:left w:val="none" w:sz="0" w:space="0" w:color="auto"/>
        <w:bottom w:val="none" w:sz="0" w:space="0" w:color="auto"/>
        <w:right w:val="none" w:sz="0" w:space="0" w:color="auto"/>
      </w:divBdr>
      <w:divsChild>
        <w:div w:id="91782200">
          <w:marLeft w:val="0"/>
          <w:marRight w:val="0"/>
          <w:marTop w:val="0"/>
          <w:marBottom w:val="0"/>
          <w:divBdr>
            <w:top w:val="none" w:sz="0" w:space="0" w:color="auto"/>
            <w:left w:val="none" w:sz="0" w:space="0" w:color="auto"/>
            <w:bottom w:val="none" w:sz="0" w:space="0" w:color="auto"/>
            <w:right w:val="none" w:sz="0" w:space="0" w:color="auto"/>
          </w:divBdr>
          <w:divsChild>
            <w:div w:id="1659185191">
              <w:marLeft w:val="0"/>
              <w:marRight w:val="0"/>
              <w:marTop w:val="0"/>
              <w:marBottom w:val="0"/>
              <w:divBdr>
                <w:top w:val="none" w:sz="0" w:space="0" w:color="auto"/>
                <w:left w:val="none" w:sz="0" w:space="0" w:color="auto"/>
                <w:bottom w:val="none" w:sz="0" w:space="0" w:color="auto"/>
                <w:right w:val="none" w:sz="0" w:space="0" w:color="auto"/>
              </w:divBdr>
              <w:divsChild>
                <w:div w:id="15167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60227">
          <w:marLeft w:val="0"/>
          <w:marRight w:val="0"/>
          <w:marTop w:val="0"/>
          <w:marBottom w:val="0"/>
          <w:divBdr>
            <w:top w:val="none" w:sz="0" w:space="0" w:color="auto"/>
            <w:left w:val="none" w:sz="0" w:space="0" w:color="auto"/>
            <w:bottom w:val="none" w:sz="0" w:space="0" w:color="auto"/>
            <w:right w:val="none" w:sz="0" w:space="0" w:color="auto"/>
          </w:divBdr>
          <w:divsChild>
            <w:div w:id="1002004333">
              <w:marLeft w:val="0"/>
              <w:marRight w:val="0"/>
              <w:marTop w:val="0"/>
              <w:marBottom w:val="0"/>
              <w:divBdr>
                <w:top w:val="none" w:sz="0" w:space="0" w:color="auto"/>
                <w:left w:val="none" w:sz="0" w:space="0" w:color="auto"/>
                <w:bottom w:val="none" w:sz="0" w:space="0" w:color="auto"/>
                <w:right w:val="none" w:sz="0" w:space="0" w:color="auto"/>
              </w:divBdr>
              <w:divsChild>
                <w:div w:id="2236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1086">
          <w:marLeft w:val="0"/>
          <w:marRight w:val="0"/>
          <w:marTop w:val="0"/>
          <w:marBottom w:val="0"/>
          <w:divBdr>
            <w:top w:val="none" w:sz="0" w:space="0" w:color="auto"/>
            <w:left w:val="none" w:sz="0" w:space="0" w:color="auto"/>
            <w:bottom w:val="none" w:sz="0" w:space="0" w:color="auto"/>
            <w:right w:val="none" w:sz="0" w:space="0" w:color="auto"/>
          </w:divBdr>
          <w:divsChild>
            <w:div w:id="1135953746">
              <w:marLeft w:val="0"/>
              <w:marRight w:val="0"/>
              <w:marTop w:val="0"/>
              <w:marBottom w:val="0"/>
              <w:divBdr>
                <w:top w:val="none" w:sz="0" w:space="0" w:color="auto"/>
                <w:left w:val="none" w:sz="0" w:space="0" w:color="auto"/>
                <w:bottom w:val="none" w:sz="0" w:space="0" w:color="auto"/>
                <w:right w:val="none" w:sz="0" w:space="0" w:color="auto"/>
              </w:divBdr>
              <w:divsChild>
                <w:div w:id="354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iaggiaresicuri.it/" TargetMode="External"/><Relationship Id="rId4" Type="http://schemas.openxmlformats.org/officeDocument/2006/relationships/settings" Target="settings.xml"/><Relationship Id="rId9" Type="http://schemas.openxmlformats.org/officeDocument/2006/relationships/hyperlink" Target="file:///C:\Users\FrateSole\Desktop\PROGRAMMI%20WORD%20NUOVI\www.viaggiaresicuri.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ancacentroemi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1141\AppData\Local\Microsoft\Windows\Temporary%20Internet%20Files\Content.IE5\QJMLKV0O\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C9EA-2C3E-4075-9CB1-6FD2F1B2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INTESTATA.dotx</Template>
  <TotalTime>9</TotalTime>
  <Pages>8</Pages>
  <Words>2330</Words>
  <Characters>13282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zj1141 - Govoni Michele</dc:creator>
  <cp:lastModifiedBy>Natasha Campus</cp:lastModifiedBy>
  <cp:revision>6</cp:revision>
  <cp:lastPrinted>2019-01-07T08:52:00Z</cp:lastPrinted>
  <dcterms:created xsi:type="dcterms:W3CDTF">2024-01-15T11:47:00Z</dcterms:created>
  <dcterms:modified xsi:type="dcterms:W3CDTF">2024-02-13T15:41:00Z</dcterms:modified>
</cp:coreProperties>
</file>